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984"/>
        <w:gridCol w:w="7371"/>
      </w:tblGrid>
      <w:tr w:rsidR="000D6B3F" w:rsidRPr="00D9678A" w14:paraId="69FDAB7C" w14:textId="77777777" w:rsidTr="00D9678A">
        <w:tc>
          <w:tcPr>
            <w:tcW w:w="2972" w:type="dxa"/>
            <w:gridSpan w:val="2"/>
          </w:tcPr>
          <w:p w14:paraId="326DD44F" w14:textId="77777777" w:rsidR="000D6B3F" w:rsidRPr="00D9678A" w:rsidRDefault="000D6B3F" w:rsidP="00A52A12">
            <w:pPr>
              <w:rPr>
                <w:rFonts w:cstheme="minorHAnsi"/>
                <w:b/>
                <w:bCs/>
                <w:u w:val="single"/>
              </w:rPr>
            </w:pPr>
            <w:r w:rsidRPr="00D9678A">
              <w:rPr>
                <w:rFonts w:cstheme="minorHAnsi"/>
                <w:noProof/>
              </w:rPr>
              <w:drawing>
                <wp:inline distT="0" distB="0" distL="0" distR="0" wp14:anchorId="752D0EF5" wp14:editId="490EEBF2">
                  <wp:extent cx="1219428" cy="1345996"/>
                  <wp:effectExtent l="0" t="0" r="0" b="6985"/>
                  <wp:docPr id="1" name="Picture 1" descr="A red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2305" cy="1360210"/>
                          </a:xfrm>
                          <a:prstGeom prst="rect">
                            <a:avLst/>
                          </a:prstGeom>
                          <a:noFill/>
                          <a:ln>
                            <a:noFill/>
                          </a:ln>
                        </pic:spPr>
                      </pic:pic>
                    </a:graphicData>
                  </a:graphic>
                </wp:inline>
              </w:drawing>
            </w:r>
          </w:p>
        </w:tc>
        <w:tc>
          <w:tcPr>
            <w:tcW w:w="7371" w:type="dxa"/>
            <w:vAlign w:val="center"/>
          </w:tcPr>
          <w:p w14:paraId="4FD3FA08" w14:textId="378DD632" w:rsidR="000D6B3F" w:rsidRPr="00D9678A" w:rsidRDefault="00811643" w:rsidP="00811643">
            <w:pPr>
              <w:jc w:val="center"/>
              <w:rPr>
                <w:rFonts w:cstheme="minorHAnsi"/>
                <w:b/>
                <w:bCs/>
                <w:color w:val="D60B52"/>
                <w:sz w:val="40"/>
                <w:szCs w:val="40"/>
              </w:rPr>
            </w:pPr>
            <w:r w:rsidRPr="00D9678A">
              <w:rPr>
                <w:rFonts w:cstheme="minorHAnsi"/>
                <w:b/>
                <w:bCs/>
                <w:color w:val="D60B52"/>
                <w:sz w:val="40"/>
                <w:szCs w:val="40"/>
              </w:rPr>
              <w:t>TEC Sector Survey of Risks</w:t>
            </w:r>
            <w:r w:rsidR="00D9678A">
              <w:rPr>
                <w:rFonts w:cstheme="minorHAnsi"/>
                <w:b/>
                <w:bCs/>
                <w:color w:val="D60B52"/>
                <w:sz w:val="40"/>
                <w:szCs w:val="40"/>
              </w:rPr>
              <w:br/>
            </w:r>
            <w:r w:rsidRPr="00D9678A">
              <w:rPr>
                <w:rFonts w:cstheme="minorHAnsi"/>
                <w:b/>
                <w:bCs/>
                <w:color w:val="D60B52"/>
                <w:sz w:val="40"/>
                <w:szCs w:val="40"/>
              </w:rPr>
              <w:t>and Opportunities 202</w:t>
            </w:r>
            <w:r w:rsidR="007C00C3">
              <w:rPr>
                <w:rFonts w:cstheme="minorHAnsi"/>
                <w:b/>
                <w:bCs/>
                <w:color w:val="D60B52"/>
                <w:sz w:val="40"/>
                <w:szCs w:val="40"/>
              </w:rPr>
              <w:t>3</w:t>
            </w:r>
          </w:p>
          <w:p w14:paraId="1B0D3ADF" w14:textId="77777777" w:rsidR="00811643" w:rsidRPr="00D9678A" w:rsidRDefault="00811643" w:rsidP="00811643">
            <w:pPr>
              <w:jc w:val="center"/>
              <w:rPr>
                <w:rFonts w:cstheme="minorHAnsi"/>
                <w:color w:val="D60B52"/>
                <w:sz w:val="16"/>
                <w:szCs w:val="16"/>
              </w:rPr>
            </w:pPr>
          </w:p>
          <w:p w14:paraId="40647C34" w14:textId="61AABC49" w:rsidR="00811643" w:rsidRPr="00D9678A" w:rsidRDefault="00811643" w:rsidP="00D9678A">
            <w:pPr>
              <w:jc w:val="center"/>
              <w:rPr>
                <w:rFonts w:cstheme="minorHAnsi"/>
                <w:color w:val="D60B52"/>
              </w:rPr>
            </w:pPr>
            <w:r w:rsidRPr="00D9678A">
              <w:rPr>
                <w:rFonts w:cstheme="minorHAnsi"/>
                <w:color w:val="D60B52"/>
                <w:sz w:val="40"/>
                <w:szCs w:val="40"/>
              </w:rPr>
              <w:t xml:space="preserve">Supporting Documentation </w:t>
            </w:r>
          </w:p>
        </w:tc>
      </w:tr>
      <w:tr w:rsidR="00EF3EDB" w:rsidRPr="00D9678A" w14:paraId="38066338" w14:textId="77777777" w:rsidTr="00D9678A">
        <w:tc>
          <w:tcPr>
            <w:tcW w:w="10343" w:type="dxa"/>
            <w:gridSpan w:val="3"/>
            <w:vAlign w:val="center"/>
          </w:tcPr>
          <w:p w14:paraId="2AF205C1" w14:textId="77777777" w:rsidR="000D6B3F" w:rsidRPr="00D9678A" w:rsidRDefault="000D6B3F" w:rsidP="00EF3EDB">
            <w:pPr>
              <w:rPr>
                <w:rFonts w:cstheme="minorHAnsi"/>
                <w:b/>
                <w:bCs/>
                <w:u w:val="single"/>
              </w:rPr>
            </w:pPr>
          </w:p>
          <w:p w14:paraId="0A681B28" w14:textId="1D968C7F" w:rsidR="00D76F70" w:rsidRPr="00D9678A" w:rsidRDefault="00D76F70" w:rsidP="00D76F70">
            <w:pPr>
              <w:rPr>
                <w:rFonts w:cstheme="minorHAnsi"/>
              </w:rPr>
            </w:pPr>
            <w:r w:rsidRPr="00D9678A">
              <w:rPr>
                <w:rFonts w:cstheme="minorHAnsi"/>
              </w:rPr>
              <w:t>Throughout November 202</w:t>
            </w:r>
            <w:r w:rsidR="007C00C3">
              <w:rPr>
                <w:rFonts w:cstheme="minorHAnsi"/>
              </w:rPr>
              <w:t>3</w:t>
            </w:r>
            <w:r w:rsidRPr="00D9678A">
              <w:rPr>
                <w:rFonts w:cstheme="minorHAnsi"/>
              </w:rPr>
              <w:t xml:space="preserve"> TSA will be conducting an Annual Risk and Opportunities Survey with the aim of identifying the key risks and opportunities that impact the technology enabled care sector, and to help drive continuous improvement of service quality, through mitigating actions, including improved guidance material, training, and standards. </w:t>
            </w:r>
          </w:p>
          <w:p w14:paraId="03EBDC1E" w14:textId="77777777" w:rsidR="00D76F70" w:rsidRPr="00D9678A" w:rsidRDefault="00D76F70" w:rsidP="00EF3EDB">
            <w:pPr>
              <w:rPr>
                <w:rFonts w:cstheme="minorHAnsi"/>
                <w:b/>
                <w:bCs/>
                <w:u w:val="single"/>
              </w:rPr>
            </w:pPr>
          </w:p>
          <w:p w14:paraId="4C74FD68" w14:textId="77777777" w:rsidR="00D76F70" w:rsidRPr="00D9678A" w:rsidRDefault="004A453A" w:rsidP="004A453A">
            <w:pPr>
              <w:rPr>
                <w:rFonts w:cstheme="minorHAnsi"/>
              </w:rPr>
            </w:pPr>
            <w:r w:rsidRPr="00D9678A">
              <w:rPr>
                <w:rFonts w:cstheme="minorHAnsi"/>
              </w:rPr>
              <w:t xml:space="preserve">TSA’s Special Interest Group on Risk Management (SIG14) has worked with an expert panel to create a ‘long list’ of risks (and hence opportunities for improvement) that will likely impact the TEC sector. </w:t>
            </w:r>
          </w:p>
          <w:p w14:paraId="58096CC0" w14:textId="77777777" w:rsidR="00D76F70" w:rsidRPr="00D9678A" w:rsidRDefault="00D76F70" w:rsidP="004A453A">
            <w:pPr>
              <w:rPr>
                <w:rFonts w:cstheme="minorHAnsi"/>
              </w:rPr>
            </w:pPr>
          </w:p>
          <w:p w14:paraId="41C9D198" w14:textId="343EAE26" w:rsidR="004A453A" w:rsidRPr="00D9678A" w:rsidRDefault="00D76F70" w:rsidP="004A453A">
            <w:pPr>
              <w:rPr>
                <w:rFonts w:cstheme="minorHAnsi"/>
              </w:rPr>
            </w:pPr>
            <w:r w:rsidRPr="00D9678A">
              <w:rPr>
                <w:rFonts w:cstheme="minorHAnsi"/>
              </w:rPr>
              <w:t xml:space="preserve">During the survey you will be asked to </w:t>
            </w:r>
            <w:r w:rsidR="004A453A" w:rsidRPr="00D9678A">
              <w:rPr>
                <w:rFonts w:cstheme="minorHAnsi"/>
              </w:rPr>
              <w:t>select the 10 risks</w:t>
            </w:r>
            <w:r w:rsidR="005939C1">
              <w:rPr>
                <w:rFonts w:cstheme="minorHAnsi"/>
              </w:rPr>
              <w:t xml:space="preserve"> and opportunities </w:t>
            </w:r>
            <w:r w:rsidR="004A453A" w:rsidRPr="00D9678A">
              <w:rPr>
                <w:rFonts w:cstheme="minorHAnsi"/>
              </w:rPr>
              <w:t xml:space="preserve">that you believe will have greatest impact in the short-term (the next 1-2 years), and then rank those 10. We then ask that you do the same again for emergent risks </w:t>
            </w:r>
            <w:r w:rsidR="005939C1">
              <w:rPr>
                <w:rFonts w:cstheme="minorHAnsi"/>
              </w:rPr>
              <w:t xml:space="preserve">and opportunities </w:t>
            </w:r>
            <w:r w:rsidR="004A453A" w:rsidRPr="00D9678A">
              <w:rPr>
                <w:rFonts w:cstheme="minorHAnsi"/>
              </w:rPr>
              <w:t xml:space="preserve">(2-5 years). </w:t>
            </w:r>
          </w:p>
          <w:p w14:paraId="6CBD1BC2" w14:textId="2DDED684" w:rsidR="00D76F70" w:rsidRPr="00D9678A" w:rsidRDefault="00D76F70" w:rsidP="004A453A">
            <w:pPr>
              <w:rPr>
                <w:rFonts w:cstheme="minorHAnsi"/>
              </w:rPr>
            </w:pPr>
          </w:p>
          <w:p w14:paraId="1D4416E2" w14:textId="79FF2092" w:rsidR="00811643" w:rsidRPr="00D9678A" w:rsidRDefault="00D76F70" w:rsidP="00D76F70">
            <w:pPr>
              <w:rPr>
                <w:rFonts w:cstheme="minorHAnsi"/>
              </w:rPr>
            </w:pPr>
            <w:r w:rsidRPr="00D9678A">
              <w:rPr>
                <w:rFonts w:cstheme="minorHAnsi"/>
              </w:rPr>
              <w:t xml:space="preserve">We have created this guidance document to help you understand the ‘long list’ </w:t>
            </w:r>
            <w:r w:rsidR="00765F27">
              <w:rPr>
                <w:rFonts w:cstheme="minorHAnsi"/>
              </w:rPr>
              <w:t xml:space="preserve">of potential </w:t>
            </w:r>
            <w:r w:rsidRPr="00D9678A">
              <w:rPr>
                <w:rFonts w:cstheme="minorHAnsi"/>
              </w:rPr>
              <w:t>risks</w:t>
            </w:r>
            <w:r w:rsidR="00765F27">
              <w:rPr>
                <w:rFonts w:cstheme="minorHAnsi"/>
              </w:rPr>
              <w:t xml:space="preserve"> and opportunities that have been identified by our expert panel</w:t>
            </w:r>
            <w:r w:rsidRPr="00D9678A">
              <w:rPr>
                <w:rFonts w:cstheme="minorHAnsi"/>
              </w:rPr>
              <w:t xml:space="preserve">, </w:t>
            </w:r>
            <w:r w:rsidR="00765F27">
              <w:rPr>
                <w:rFonts w:cstheme="minorHAnsi"/>
              </w:rPr>
              <w:t>to</w:t>
            </w:r>
            <w:r w:rsidRPr="00D9678A">
              <w:rPr>
                <w:rFonts w:cstheme="minorHAnsi"/>
              </w:rPr>
              <w:t xml:space="preserve"> help you to select your top 10 short term and emergent risks</w:t>
            </w:r>
            <w:r w:rsidR="00765F27">
              <w:rPr>
                <w:rFonts w:cstheme="minorHAnsi"/>
              </w:rPr>
              <w:t xml:space="preserve"> </w:t>
            </w:r>
            <w:r w:rsidR="00765F27">
              <w:rPr>
                <w:rFonts w:cstheme="minorHAnsi"/>
              </w:rPr>
              <w:t>and opportunities</w:t>
            </w:r>
            <w:r w:rsidRPr="00D9678A">
              <w:rPr>
                <w:rFonts w:cstheme="minorHAnsi"/>
              </w:rPr>
              <w:t xml:space="preserve">. Please see below details on each identified risk, including the background, </w:t>
            </w:r>
            <w:proofErr w:type="gramStart"/>
            <w:r w:rsidRPr="00D9678A">
              <w:rPr>
                <w:rFonts w:cstheme="minorHAnsi"/>
              </w:rPr>
              <w:t>impact</w:t>
            </w:r>
            <w:proofErr w:type="gramEnd"/>
            <w:r w:rsidRPr="00D9678A">
              <w:rPr>
                <w:rFonts w:cstheme="minorHAnsi"/>
              </w:rPr>
              <w:t xml:space="preserve"> and mitigating actions for each.</w:t>
            </w:r>
            <w:r w:rsidR="00765F27">
              <w:rPr>
                <w:rFonts w:cstheme="minorHAnsi"/>
              </w:rPr>
              <w:t xml:space="preserve"> </w:t>
            </w:r>
          </w:p>
          <w:p w14:paraId="2A7915BE" w14:textId="0243E927" w:rsidR="00D76F70" w:rsidRPr="00D9678A" w:rsidRDefault="00D76F70" w:rsidP="00D76F70">
            <w:pPr>
              <w:rPr>
                <w:rFonts w:cstheme="minorHAnsi"/>
                <w:b/>
                <w:bCs/>
                <w:u w:val="single"/>
              </w:rPr>
            </w:pPr>
          </w:p>
          <w:p w14:paraId="02542974" w14:textId="32652E43" w:rsidR="00D76F70" w:rsidRPr="004C130C" w:rsidRDefault="00D76F70" w:rsidP="00D76F70">
            <w:pPr>
              <w:rPr>
                <w:rFonts w:cstheme="minorHAnsi"/>
                <w:b/>
                <w:bCs/>
                <w:u w:val="single"/>
              </w:rPr>
            </w:pPr>
            <w:r w:rsidRPr="004C130C">
              <w:rPr>
                <w:rFonts w:cstheme="minorHAnsi"/>
                <w:b/>
                <w:bCs/>
              </w:rPr>
              <w:t>To complete the survey please click on the below link</w:t>
            </w:r>
            <w:r w:rsidR="004C130C">
              <w:rPr>
                <w:rFonts w:cstheme="minorHAnsi"/>
                <w:b/>
                <w:bCs/>
                <w:u w:val="single"/>
              </w:rPr>
              <w:t>:</w:t>
            </w:r>
            <w:r w:rsidRPr="004C130C">
              <w:rPr>
                <w:rFonts w:cstheme="minorHAnsi"/>
                <w:b/>
                <w:bCs/>
                <w:u w:val="single"/>
              </w:rPr>
              <w:t xml:space="preserve"> </w:t>
            </w:r>
          </w:p>
          <w:p w14:paraId="67889B95" w14:textId="07AFEEC4" w:rsidR="000527EE" w:rsidRPr="00D9678A" w:rsidRDefault="00000000" w:rsidP="00D76F70">
            <w:pPr>
              <w:rPr>
                <w:rFonts w:cstheme="minorHAnsi"/>
                <w:b/>
                <w:bCs/>
                <w:u w:val="single"/>
              </w:rPr>
            </w:pPr>
            <w:hyperlink r:id="rId10" w:history="1">
              <w:r w:rsidR="000527EE" w:rsidRPr="009D04B0">
                <w:rPr>
                  <w:rStyle w:val="Hyperlink"/>
                  <w:rFonts w:cstheme="minorHAnsi"/>
                  <w:b/>
                  <w:bCs/>
                </w:rPr>
                <w:t>https://www.surveymonkey.co.uk/r/TSA_Risk_Survey_2023</w:t>
              </w:r>
            </w:hyperlink>
            <w:r w:rsidR="000527EE">
              <w:rPr>
                <w:rFonts w:cstheme="minorHAnsi"/>
                <w:b/>
                <w:bCs/>
                <w:u w:val="single"/>
              </w:rPr>
              <w:t xml:space="preserve"> </w:t>
            </w:r>
          </w:p>
          <w:p w14:paraId="5792DBC8" w14:textId="30ED6BC3" w:rsidR="00C50162" w:rsidRPr="00D9678A" w:rsidRDefault="00C50162" w:rsidP="00EF3EDB">
            <w:pPr>
              <w:rPr>
                <w:rFonts w:cstheme="minorHAnsi"/>
                <w:b/>
                <w:bCs/>
                <w:u w:val="single"/>
              </w:rPr>
            </w:pPr>
          </w:p>
        </w:tc>
      </w:tr>
      <w:tr w:rsidR="000D6B3F" w:rsidRPr="00D9678A" w14:paraId="58C8ADA0" w14:textId="77777777" w:rsidTr="00D9678A">
        <w:tc>
          <w:tcPr>
            <w:tcW w:w="988" w:type="dxa"/>
            <w:vAlign w:val="center"/>
          </w:tcPr>
          <w:p w14:paraId="755DFFCE" w14:textId="4156FA40" w:rsidR="000D6B3F" w:rsidRPr="00D9678A" w:rsidRDefault="000D6B3F" w:rsidP="00EF3EDB">
            <w:pPr>
              <w:rPr>
                <w:rFonts w:cstheme="minorHAnsi"/>
                <w:b/>
                <w:bCs/>
                <w:color w:val="D60B52"/>
              </w:rPr>
            </w:pPr>
            <w:r w:rsidRPr="00D9678A">
              <w:rPr>
                <w:rFonts w:cstheme="minorHAnsi"/>
                <w:b/>
                <w:bCs/>
                <w:color w:val="D60B52"/>
              </w:rPr>
              <w:t>RISK 1</w:t>
            </w:r>
          </w:p>
        </w:tc>
        <w:tc>
          <w:tcPr>
            <w:tcW w:w="9355" w:type="dxa"/>
            <w:gridSpan w:val="2"/>
            <w:vAlign w:val="center"/>
          </w:tcPr>
          <w:p w14:paraId="42D3F772" w14:textId="7B0FA776" w:rsidR="000D6B3F" w:rsidRPr="00D9678A" w:rsidRDefault="000D6B3F" w:rsidP="00EF3EDB">
            <w:pPr>
              <w:rPr>
                <w:rFonts w:cstheme="minorHAnsi"/>
                <w:b/>
                <w:bCs/>
                <w:color w:val="D60B52"/>
              </w:rPr>
            </w:pPr>
            <w:r w:rsidRPr="00D9678A">
              <w:rPr>
                <w:rFonts w:cstheme="minorHAnsi"/>
                <w:b/>
                <w:bCs/>
                <w:color w:val="D60B52"/>
              </w:rPr>
              <w:t>Failure to embed co-production impacts market demand for TEC</w:t>
            </w:r>
          </w:p>
        </w:tc>
      </w:tr>
      <w:tr w:rsidR="000D6B3F" w:rsidRPr="00D9678A" w14:paraId="0132FF0D" w14:textId="77777777" w:rsidTr="00D9678A">
        <w:tc>
          <w:tcPr>
            <w:tcW w:w="10343" w:type="dxa"/>
            <w:gridSpan w:val="3"/>
            <w:tcBorders>
              <w:bottom w:val="single" w:sz="4" w:space="0" w:color="auto"/>
            </w:tcBorders>
            <w:vAlign w:val="center"/>
          </w:tcPr>
          <w:p w14:paraId="1C6B1B5E" w14:textId="22CDCF53" w:rsidR="00555B56" w:rsidRPr="00D9678A" w:rsidRDefault="00A52A12" w:rsidP="00811643">
            <w:pPr>
              <w:pStyle w:val="ListParagraph"/>
              <w:numPr>
                <w:ilvl w:val="0"/>
                <w:numId w:val="1"/>
              </w:numPr>
              <w:ind w:left="738" w:hanging="378"/>
              <w:rPr>
                <w:rFonts w:cstheme="minorHAnsi"/>
              </w:rPr>
            </w:pPr>
            <w:r w:rsidRPr="00D9678A">
              <w:rPr>
                <w:rFonts w:cstheme="minorHAnsi"/>
                <w:b/>
                <w:bCs/>
              </w:rPr>
              <w:t xml:space="preserve">Background </w:t>
            </w:r>
            <w:r w:rsidR="00555B56" w:rsidRPr="00D9678A">
              <w:rPr>
                <w:rFonts w:cstheme="minorHAnsi"/>
                <w:b/>
                <w:bCs/>
              </w:rPr>
              <w:br/>
            </w:r>
            <w:r w:rsidRPr="00D9678A">
              <w:rPr>
                <w:rFonts w:cstheme="minorHAnsi"/>
              </w:rPr>
              <w:t xml:space="preserve">Failure to involve people, families and carers in developing TEC solutions will limit their impact of new products and services. </w:t>
            </w:r>
          </w:p>
          <w:p w14:paraId="51A9F329" w14:textId="64A9AAC3" w:rsidR="00555B56" w:rsidRPr="00D9678A" w:rsidRDefault="00A52A12" w:rsidP="00DE6B94">
            <w:pPr>
              <w:pStyle w:val="ListParagraph"/>
              <w:numPr>
                <w:ilvl w:val="0"/>
                <w:numId w:val="1"/>
              </w:numPr>
              <w:rPr>
                <w:rFonts w:cstheme="minorHAnsi"/>
                <w:b/>
                <w:bCs/>
              </w:rPr>
            </w:pPr>
            <w:r w:rsidRPr="00D9678A">
              <w:rPr>
                <w:rFonts w:cstheme="minorHAnsi"/>
                <w:b/>
                <w:bCs/>
              </w:rPr>
              <w:t xml:space="preserve">Impact </w:t>
            </w:r>
            <w:r w:rsidR="00B05F72" w:rsidRPr="00D9678A">
              <w:rPr>
                <w:rFonts w:cstheme="minorHAnsi"/>
                <w:b/>
                <w:bCs/>
              </w:rPr>
              <w:br/>
            </w:r>
            <w:r w:rsidR="00B05F72" w:rsidRPr="00D9678A">
              <w:rPr>
                <w:rFonts w:cstheme="minorHAnsi"/>
              </w:rPr>
              <w:t xml:space="preserve">A tokenistic approach to the design and co-production of TEC services will not satisfy consumers or </w:t>
            </w:r>
            <w:r w:rsidRPr="00D9678A">
              <w:rPr>
                <w:rFonts w:cstheme="minorHAnsi"/>
              </w:rPr>
              <w:t>improve outcomes, impacting market demand and marginalising the TEC industry.</w:t>
            </w:r>
          </w:p>
          <w:p w14:paraId="75691686" w14:textId="77777777" w:rsidR="00D76F70" w:rsidRPr="00D9678A" w:rsidRDefault="00A52A12" w:rsidP="00D76F70">
            <w:pPr>
              <w:pStyle w:val="ListParagraph"/>
              <w:numPr>
                <w:ilvl w:val="0"/>
                <w:numId w:val="1"/>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 xml:space="preserve">An organised and sustained approach to co-production is needed, through active stakeholder engagement, consumer awareness of TEC, design principles for co-production and strong governance. </w:t>
            </w:r>
          </w:p>
          <w:p w14:paraId="29CEE4F9" w14:textId="5CBDB8D8" w:rsidR="00D9678A" w:rsidRPr="00D9678A" w:rsidRDefault="00D9678A" w:rsidP="00D9678A">
            <w:pPr>
              <w:pStyle w:val="ListParagraph"/>
              <w:rPr>
                <w:rFonts w:cstheme="minorHAnsi"/>
              </w:rPr>
            </w:pPr>
          </w:p>
        </w:tc>
      </w:tr>
      <w:tr w:rsidR="00811643" w:rsidRPr="00D9678A" w14:paraId="32B47040" w14:textId="77777777" w:rsidTr="00D9678A">
        <w:trPr>
          <w:trHeight w:val="113"/>
        </w:trPr>
        <w:tc>
          <w:tcPr>
            <w:tcW w:w="10343" w:type="dxa"/>
            <w:gridSpan w:val="3"/>
            <w:tcBorders>
              <w:top w:val="single" w:sz="4" w:space="0" w:color="auto"/>
            </w:tcBorders>
            <w:vAlign w:val="center"/>
          </w:tcPr>
          <w:p w14:paraId="62B724AB" w14:textId="77777777" w:rsidR="00811643" w:rsidRDefault="00811643" w:rsidP="00811643">
            <w:pPr>
              <w:pStyle w:val="ListParagraph"/>
              <w:ind w:left="738"/>
              <w:rPr>
                <w:rFonts w:cstheme="minorHAnsi"/>
                <w:b/>
                <w:bCs/>
              </w:rPr>
            </w:pPr>
          </w:p>
          <w:p w14:paraId="1336A714" w14:textId="644914FD" w:rsidR="00D9678A" w:rsidRPr="00D9678A" w:rsidRDefault="00D9678A" w:rsidP="00811643">
            <w:pPr>
              <w:pStyle w:val="ListParagraph"/>
              <w:ind w:left="738"/>
              <w:rPr>
                <w:rFonts w:cstheme="minorHAnsi"/>
                <w:b/>
                <w:bCs/>
              </w:rPr>
            </w:pPr>
          </w:p>
        </w:tc>
      </w:tr>
      <w:tr w:rsidR="000D6B3F" w:rsidRPr="00D9678A" w14:paraId="55B5F12C" w14:textId="77777777" w:rsidTr="00D9678A">
        <w:tc>
          <w:tcPr>
            <w:tcW w:w="988" w:type="dxa"/>
            <w:vAlign w:val="center"/>
          </w:tcPr>
          <w:p w14:paraId="2A6EB7FE" w14:textId="5B563813" w:rsidR="000D6B3F" w:rsidRPr="00D9678A" w:rsidRDefault="00B37726" w:rsidP="00EF3EDB">
            <w:pPr>
              <w:rPr>
                <w:rFonts w:cstheme="minorHAnsi"/>
                <w:b/>
                <w:bCs/>
                <w:u w:val="single"/>
              </w:rPr>
            </w:pPr>
            <w:r w:rsidRPr="00D9678A">
              <w:rPr>
                <w:rFonts w:cstheme="minorHAnsi"/>
                <w:b/>
                <w:bCs/>
                <w:color w:val="D60B52"/>
              </w:rPr>
              <w:t>RISK 2</w:t>
            </w:r>
          </w:p>
        </w:tc>
        <w:tc>
          <w:tcPr>
            <w:tcW w:w="9355" w:type="dxa"/>
            <w:gridSpan w:val="2"/>
            <w:vAlign w:val="center"/>
          </w:tcPr>
          <w:p w14:paraId="290F9438" w14:textId="1DAC9BBD" w:rsidR="000D6B3F" w:rsidRPr="00D9678A" w:rsidRDefault="00B37726" w:rsidP="00EF3EDB">
            <w:pPr>
              <w:rPr>
                <w:rFonts w:cstheme="minorHAnsi"/>
                <w:b/>
                <w:bCs/>
                <w:color w:val="D60B52"/>
              </w:rPr>
            </w:pPr>
            <w:r w:rsidRPr="00D9678A">
              <w:rPr>
                <w:rFonts w:cstheme="minorHAnsi"/>
                <w:b/>
                <w:bCs/>
                <w:color w:val="D60B52"/>
              </w:rPr>
              <w:t>TEC is marginalised by failure to integrate with Health, Social Care and Housing services</w:t>
            </w:r>
          </w:p>
        </w:tc>
      </w:tr>
      <w:tr w:rsidR="000D6B3F" w:rsidRPr="00D9678A" w14:paraId="72107573" w14:textId="77777777" w:rsidTr="00D9678A">
        <w:tc>
          <w:tcPr>
            <w:tcW w:w="10343" w:type="dxa"/>
            <w:gridSpan w:val="3"/>
            <w:tcBorders>
              <w:bottom w:val="single" w:sz="4" w:space="0" w:color="auto"/>
            </w:tcBorders>
            <w:vAlign w:val="center"/>
          </w:tcPr>
          <w:p w14:paraId="7ECDF44A" w14:textId="6773363F" w:rsidR="00555B56" w:rsidRPr="00D9678A" w:rsidRDefault="00A52A12" w:rsidP="00F56109">
            <w:pPr>
              <w:pStyle w:val="ListParagraph"/>
              <w:numPr>
                <w:ilvl w:val="0"/>
                <w:numId w:val="2"/>
              </w:numPr>
              <w:rPr>
                <w:rFonts w:cstheme="minorHAnsi"/>
                <w:b/>
                <w:bCs/>
              </w:rPr>
            </w:pPr>
            <w:r w:rsidRPr="00D9678A">
              <w:rPr>
                <w:rFonts w:cstheme="minorHAnsi"/>
                <w:b/>
                <w:bCs/>
              </w:rPr>
              <w:t>Background</w:t>
            </w:r>
            <w:r w:rsidR="00555B56" w:rsidRPr="00D9678A">
              <w:rPr>
                <w:rFonts w:cstheme="minorHAnsi"/>
                <w:b/>
                <w:bCs/>
              </w:rPr>
              <w:br/>
            </w:r>
            <w:r w:rsidRPr="00D9678A">
              <w:rPr>
                <w:rFonts w:cstheme="minorHAnsi"/>
              </w:rPr>
              <w:t xml:space="preserve">TEC offers benefits through community-based alternatives to more intensive health and care solutions, but without the necessary integration of services and exchange of key information, coordinated care will not be delivered. </w:t>
            </w:r>
          </w:p>
          <w:p w14:paraId="3C7B6B5B" w14:textId="77777777" w:rsidR="00555B56" w:rsidRPr="00D9678A" w:rsidRDefault="00A52A12" w:rsidP="007F6EC8">
            <w:pPr>
              <w:pStyle w:val="ListParagraph"/>
              <w:numPr>
                <w:ilvl w:val="0"/>
                <w:numId w:val="2"/>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Without integration, national health and social care structures may fail to identify the transformative potential of TEC, impacting on commissioning behaviour and funding.</w:t>
            </w:r>
            <w:r w:rsidRPr="00D9678A">
              <w:rPr>
                <w:rFonts w:cstheme="minorHAnsi"/>
              </w:rPr>
              <w:tab/>
            </w:r>
          </w:p>
          <w:p w14:paraId="7CF03DEF" w14:textId="77777777" w:rsidR="00D9678A" w:rsidRPr="00D9678A" w:rsidRDefault="00A52A12" w:rsidP="00D9678A">
            <w:pPr>
              <w:pStyle w:val="ListParagraph"/>
              <w:numPr>
                <w:ilvl w:val="0"/>
                <w:numId w:val="2"/>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Commissioning strategies for health, care and housing need to include explicit recognition of home-based care options, that employ TEC to deliver remote support.</w:t>
            </w:r>
          </w:p>
          <w:p w14:paraId="1C6F39FE" w14:textId="6E062617" w:rsidR="00D9678A" w:rsidRPr="00D9678A" w:rsidRDefault="00D9678A" w:rsidP="00D9678A">
            <w:pPr>
              <w:pStyle w:val="ListParagraph"/>
              <w:rPr>
                <w:rFonts w:cstheme="minorHAnsi"/>
              </w:rPr>
            </w:pPr>
          </w:p>
        </w:tc>
      </w:tr>
      <w:tr w:rsidR="00811643" w:rsidRPr="00D9678A" w14:paraId="24A4DCF5" w14:textId="77777777" w:rsidTr="00D9678A">
        <w:trPr>
          <w:trHeight w:val="60"/>
        </w:trPr>
        <w:tc>
          <w:tcPr>
            <w:tcW w:w="988" w:type="dxa"/>
            <w:tcBorders>
              <w:top w:val="single" w:sz="4" w:space="0" w:color="auto"/>
            </w:tcBorders>
            <w:vAlign w:val="center"/>
          </w:tcPr>
          <w:p w14:paraId="6AF4D2CD" w14:textId="77777777" w:rsidR="004C130C" w:rsidRDefault="004C130C" w:rsidP="00EF3EDB">
            <w:pPr>
              <w:rPr>
                <w:rFonts w:cstheme="minorHAnsi"/>
                <w:b/>
                <w:bCs/>
                <w:color w:val="D60B52"/>
              </w:rPr>
            </w:pPr>
          </w:p>
          <w:p w14:paraId="3C6A6E4B" w14:textId="77777777" w:rsidR="00D9678A" w:rsidRDefault="00D9678A" w:rsidP="00EF3EDB">
            <w:pPr>
              <w:rPr>
                <w:rFonts w:cstheme="minorHAnsi"/>
                <w:b/>
                <w:bCs/>
                <w:color w:val="D60B52"/>
              </w:rPr>
            </w:pPr>
          </w:p>
          <w:p w14:paraId="48DE041F" w14:textId="5A1604B1" w:rsidR="00D9678A" w:rsidRPr="00D9678A" w:rsidRDefault="00D9678A" w:rsidP="00EF3EDB">
            <w:pPr>
              <w:rPr>
                <w:rFonts w:cstheme="minorHAnsi"/>
                <w:b/>
                <w:bCs/>
                <w:color w:val="D60B52"/>
              </w:rPr>
            </w:pPr>
          </w:p>
        </w:tc>
        <w:tc>
          <w:tcPr>
            <w:tcW w:w="9355" w:type="dxa"/>
            <w:gridSpan w:val="2"/>
            <w:tcBorders>
              <w:top w:val="single" w:sz="4" w:space="0" w:color="auto"/>
            </w:tcBorders>
            <w:vAlign w:val="center"/>
          </w:tcPr>
          <w:p w14:paraId="0850F3C7" w14:textId="77777777" w:rsidR="00811643" w:rsidRPr="00D9678A" w:rsidRDefault="00811643" w:rsidP="00EF3EDB">
            <w:pPr>
              <w:rPr>
                <w:rFonts w:cstheme="minorHAnsi"/>
                <w:b/>
                <w:bCs/>
                <w:color w:val="D60B52"/>
              </w:rPr>
            </w:pPr>
          </w:p>
        </w:tc>
      </w:tr>
      <w:tr w:rsidR="000D6B3F" w:rsidRPr="00D9678A" w14:paraId="4881E07D" w14:textId="77777777" w:rsidTr="00D9678A">
        <w:tc>
          <w:tcPr>
            <w:tcW w:w="988" w:type="dxa"/>
            <w:vAlign w:val="center"/>
          </w:tcPr>
          <w:p w14:paraId="498FA932" w14:textId="6CE80EF3" w:rsidR="000D6B3F" w:rsidRPr="00D9678A" w:rsidRDefault="00B37726" w:rsidP="00EF3EDB">
            <w:pPr>
              <w:rPr>
                <w:rFonts w:cstheme="minorHAnsi"/>
                <w:b/>
                <w:bCs/>
                <w:u w:val="single"/>
              </w:rPr>
            </w:pPr>
            <w:r w:rsidRPr="00D9678A">
              <w:rPr>
                <w:rFonts w:cstheme="minorHAnsi"/>
                <w:b/>
                <w:bCs/>
                <w:color w:val="D60B52"/>
              </w:rPr>
              <w:lastRenderedPageBreak/>
              <w:t>RISK 3</w:t>
            </w:r>
          </w:p>
        </w:tc>
        <w:tc>
          <w:tcPr>
            <w:tcW w:w="9355" w:type="dxa"/>
            <w:gridSpan w:val="2"/>
            <w:vAlign w:val="center"/>
          </w:tcPr>
          <w:p w14:paraId="44FA1198" w14:textId="01DF70CA" w:rsidR="000D6B3F" w:rsidRPr="00D9678A" w:rsidRDefault="00B37726" w:rsidP="00EF3EDB">
            <w:pPr>
              <w:rPr>
                <w:rFonts w:cstheme="minorHAnsi"/>
                <w:b/>
                <w:bCs/>
                <w:color w:val="D60B52"/>
              </w:rPr>
            </w:pPr>
            <w:r w:rsidRPr="00D9678A">
              <w:rPr>
                <w:rFonts w:cstheme="minorHAnsi"/>
                <w:b/>
                <w:bCs/>
                <w:color w:val="D60B52"/>
              </w:rPr>
              <w:t>New health and social care structures will focus on re-design of local systems and fail to adopt TEC in the transformation of services</w:t>
            </w:r>
          </w:p>
        </w:tc>
      </w:tr>
      <w:tr w:rsidR="000D6B3F" w:rsidRPr="00D9678A" w14:paraId="72C8249E" w14:textId="77777777" w:rsidTr="00D9678A">
        <w:tc>
          <w:tcPr>
            <w:tcW w:w="10343" w:type="dxa"/>
            <w:gridSpan w:val="3"/>
            <w:tcBorders>
              <w:bottom w:val="single" w:sz="4" w:space="0" w:color="auto"/>
            </w:tcBorders>
            <w:vAlign w:val="center"/>
          </w:tcPr>
          <w:p w14:paraId="4C4A68D1" w14:textId="77777777" w:rsidR="00555B56" w:rsidRPr="00D9678A" w:rsidRDefault="00A52A12" w:rsidP="009F7E29">
            <w:pPr>
              <w:pStyle w:val="ListParagraph"/>
              <w:numPr>
                <w:ilvl w:val="0"/>
                <w:numId w:val="3"/>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New health and care commissioning structures across the UK will bring new dynamics to TEC commissioning; new buyers will need to be appraised and convinced of the benefits of TEC.</w:t>
            </w:r>
          </w:p>
          <w:p w14:paraId="3D86D15C" w14:textId="77777777" w:rsidR="00555B56" w:rsidRPr="00D9678A" w:rsidRDefault="00A52A12" w:rsidP="001C4B80">
            <w:pPr>
              <w:pStyle w:val="ListParagraph"/>
              <w:numPr>
                <w:ilvl w:val="0"/>
                <w:numId w:val="3"/>
              </w:numPr>
              <w:rPr>
                <w:rFonts w:cstheme="minorHAnsi"/>
              </w:rPr>
            </w:pPr>
            <w:r w:rsidRPr="00D9678A">
              <w:rPr>
                <w:rFonts w:cstheme="minorHAnsi"/>
                <w:b/>
                <w:bCs/>
              </w:rPr>
              <w:t xml:space="preserve">Impact </w:t>
            </w:r>
          </w:p>
          <w:p w14:paraId="038D2201" w14:textId="77777777" w:rsidR="00555B56" w:rsidRPr="00D9678A" w:rsidRDefault="00A52A12" w:rsidP="00555B56">
            <w:pPr>
              <w:pStyle w:val="ListParagraph"/>
              <w:rPr>
                <w:rFonts w:cstheme="minorHAnsi"/>
              </w:rPr>
            </w:pPr>
            <w:r w:rsidRPr="00D9678A">
              <w:rPr>
                <w:rFonts w:cstheme="minorHAnsi"/>
              </w:rPr>
              <w:t>DHSC may focus solely on ‘digital health’, whilst Social Care commissioning may remain focused on traditional block contracts for services, thereby limiting awareness of TEC and alternative care models</w:t>
            </w:r>
            <w:r w:rsidR="00555B56" w:rsidRPr="00D9678A">
              <w:rPr>
                <w:rFonts w:cstheme="minorHAnsi"/>
              </w:rPr>
              <w:t>.</w:t>
            </w:r>
          </w:p>
          <w:p w14:paraId="3031560E" w14:textId="77777777" w:rsidR="00A52A12" w:rsidRPr="00D9678A" w:rsidRDefault="00A52A12" w:rsidP="00555B56">
            <w:pPr>
              <w:pStyle w:val="ListParagraph"/>
              <w:numPr>
                <w:ilvl w:val="0"/>
                <w:numId w:val="3"/>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Commissioning strategies for health, care and housing need to include explicit recognition of home-based care options, that employ TEC to deliver remote support.</w:t>
            </w:r>
          </w:p>
          <w:p w14:paraId="7C76C09C" w14:textId="2784E426" w:rsidR="00D9678A" w:rsidRPr="00D9678A" w:rsidRDefault="00D9678A" w:rsidP="00D9678A">
            <w:pPr>
              <w:pStyle w:val="ListParagraph"/>
              <w:rPr>
                <w:rFonts w:cstheme="minorHAnsi"/>
              </w:rPr>
            </w:pPr>
          </w:p>
        </w:tc>
      </w:tr>
      <w:tr w:rsidR="00811643" w:rsidRPr="00D9678A" w14:paraId="197CA72D" w14:textId="77777777" w:rsidTr="00D9678A">
        <w:tc>
          <w:tcPr>
            <w:tcW w:w="988" w:type="dxa"/>
            <w:tcBorders>
              <w:top w:val="single" w:sz="4" w:space="0" w:color="auto"/>
            </w:tcBorders>
            <w:vAlign w:val="center"/>
          </w:tcPr>
          <w:p w14:paraId="1821CF40"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6418763B" w14:textId="2F2C1B25" w:rsidR="00B05F72" w:rsidRPr="00D9678A" w:rsidRDefault="00B05F72" w:rsidP="00EF3EDB">
            <w:pPr>
              <w:rPr>
                <w:rFonts w:cstheme="minorHAnsi"/>
                <w:b/>
                <w:bCs/>
                <w:color w:val="D60B52"/>
              </w:rPr>
            </w:pPr>
          </w:p>
        </w:tc>
      </w:tr>
      <w:tr w:rsidR="000D6B3F" w:rsidRPr="00D9678A" w14:paraId="26E6C06A" w14:textId="77777777" w:rsidTr="00D9678A">
        <w:tc>
          <w:tcPr>
            <w:tcW w:w="988" w:type="dxa"/>
            <w:vAlign w:val="center"/>
          </w:tcPr>
          <w:p w14:paraId="1A836E30" w14:textId="1435F006" w:rsidR="000D6B3F" w:rsidRPr="00D9678A" w:rsidRDefault="00B37726" w:rsidP="00EF3EDB">
            <w:pPr>
              <w:rPr>
                <w:rFonts w:cstheme="minorHAnsi"/>
                <w:b/>
                <w:bCs/>
                <w:u w:val="single"/>
              </w:rPr>
            </w:pPr>
            <w:r w:rsidRPr="00D9678A">
              <w:rPr>
                <w:rFonts w:cstheme="minorHAnsi"/>
                <w:b/>
                <w:bCs/>
                <w:color w:val="D60B52"/>
              </w:rPr>
              <w:t>RISK 4</w:t>
            </w:r>
          </w:p>
        </w:tc>
        <w:tc>
          <w:tcPr>
            <w:tcW w:w="9355" w:type="dxa"/>
            <w:gridSpan w:val="2"/>
            <w:vAlign w:val="center"/>
          </w:tcPr>
          <w:p w14:paraId="68ABEE6D" w14:textId="73F6A1AA" w:rsidR="000D6B3F" w:rsidRPr="00D9678A" w:rsidRDefault="00B37726" w:rsidP="00EF3EDB">
            <w:pPr>
              <w:rPr>
                <w:rFonts w:cstheme="minorHAnsi"/>
                <w:b/>
                <w:bCs/>
                <w:color w:val="D60B52"/>
              </w:rPr>
            </w:pPr>
            <w:r w:rsidRPr="00D9678A">
              <w:rPr>
                <w:rFonts w:cstheme="minorHAnsi"/>
                <w:b/>
                <w:bCs/>
                <w:color w:val="D60B52"/>
              </w:rPr>
              <w:t xml:space="preserve">Delivery of sub-optimal care due to lack of data sharing and interoperability between health, social </w:t>
            </w:r>
            <w:proofErr w:type="gramStart"/>
            <w:r w:rsidRPr="00D9678A">
              <w:rPr>
                <w:rFonts w:cstheme="minorHAnsi"/>
                <w:b/>
                <w:bCs/>
                <w:color w:val="D60B52"/>
              </w:rPr>
              <w:t>care</w:t>
            </w:r>
            <w:proofErr w:type="gramEnd"/>
            <w:r w:rsidRPr="00D9678A">
              <w:rPr>
                <w:rFonts w:cstheme="minorHAnsi"/>
                <w:b/>
                <w:bCs/>
                <w:color w:val="D60B52"/>
              </w:rPr>
              <w:t xml:space="preserve"> and TEC</w:t>
            </w:r>
          </w:p>
        </w:tc>
      </w:tr>
      <w:tr w:rsidR="000D6B3F" w:rsidRPr="00D9678A" w14:paraId="261F4B3B" w14:textId="77777777" w:rsidTr="00D9678A">
        <w:tc>
          <w:tcPr>
            <w:tcW w:w="10343" w:type="dxa"/>
            <w:gridSpan w:val="3"/>
            <w:tcBorders>
              <w:bottom w:val="single" w:sz="4" w:space="0" w:color="auto"/>
            </w:tcBorders>
            <w:vAlign w:val="center"/>
          </w:tcPr>
          <w:p w14:paraId="280E9CA1" w14:textId="77777777" w:rsidR="00555B56" w:rsidRPr="00D9678A" w:rsidRDefault="00A52A12" w:rsidP="00220310">
            <w:pPr>
              <w:pStyle w:val="ListParagraph"/>
              <w:numPr>
                <w:ilvl w:val="0"/>
                <w:numId w:val="3"/>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Without health and care systems exchanging information with TEC services, it will not be possible to form a single view of the service user. Here, interpretations of Information Governance can act as a </w:t>
            </w:r>
            <w:proofErr w:type="gramStart"/>
            <w:r w:rsidRPr="00D9678A">
              <w:rPr>
                <w:rFonts w:cstheme="minorHAnsi"/>
              </w:rPr>
              <w:t>"blockers"</w:t>
            </w:r>
            <w:proofErr w:type="gramEnd"/>
            <w:r w:rsidRPr="00D9678A">
              <w:rPr>
                <w:rFonts w:cstheme="minorHAnsi"/>
              </w:rPr>
              <w:t xml:space="preserve"> to the effective sharing of data. </w:t>
            </w:r>
          </w:p>
          <w:p w14:paraId="7E95B22B" w14:textId="77777777" w:rsidR="00555B56" w:rsidRPr="00D9678A" w:rsidRDefault="00A52A12" w:rsidP="0081120D">
            <w:pPr>
              <w:pStyle w:val="ListParagraph"/>
              <w:numPr>
                <w:ilvl w:val="0"/>
                <w:numId w:val="3"/>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Without integration, TEC will contribute less to health and wellbeing. Activity and incidents will be lost to any data analysis and will fail to contribute to personal or population health initiatives. This will result in reduced demand for TEC solutions.</w:t>
            </w:r>
          </w:p>
          <w:p w14:paraId="121B846C" w14:textId="77777777" w:rsidR="00A52A12" w:rsidRPr="00D9678A" w:rsidRDefault="00A52A12" w:rsidP="00555B56">
            <w:pPr>
              <w:pStyle w:val="ListParagraph"/>
              <w:numPr>
                <w:ilvl w:val="0"/>
                <w:numId w:val="3"/>
              </w:numPr>
              <w:rPr>
                <w:rFonts w:cstheme="minorHAnsi"/>
                <w:b/>
                <w:bCs/>
                <w:u w:val="single"/>
              </w:rPr>
            </w:pPr>
            <w:r w:rsidRPr="00D9678A">
              <w:rPr>
                <w:rFonts w:cstheme="minorHAnsi"/>
                <w:b/>
                <w:bCs/>
              </w:rPr>
              <w:t xml:space="preserve">Mitigating actions </w:t>
            </w:r>
            <w:r w:rsidR="00555B56" w:rsidRPr="00D9678A">
              <w:rPr>
                <w:rFonts w:cstheme="minorHAnsi"/>
                <w:b/>
                <w:bCs/>
              </w:rPr>
              <w:br/>
            </w:r>
            <w:r w:rsidRPr="00D9678A">
              <w:rPr>
                <w:rFonts w:cstheme="minorHAnsi"/>
              </w:rPr>
              <w:t>We need constructive discussion on the balance of risks between data privacy and access to improved health outcomes, to provide guidance on data-sharing requirements.</w:t>
            </w:r>
          </w:p>
          <w:p w14:paraId="0331BCA9" w14:textId="6FBF1F2A" w:rsidR="00D9678A" w:rsidRPr="00D9678A" w:rsidRDefault="00D9678A" w:rsidP="00D9678A">
            <w:pPr>
              <w:pStyle w:val="ListParagraph"/>
              <w:rPr>
                <w:rFonts w:cstheme="minorHAnsi"/>
                <w:b/>
                <w:bCs/>
                <w:u w:val="single"/>
              </w:rPr>
            </w:pPr>
          </w:p>
        </w:tc>
      </w:tr>
      <w:tr w:rsidR="00811643" w:rsidRPr="00D9678A" w14:paraId="4DE83FD6" w14:textId="77777777" w:rsidTr="00D9678A">
        <w:tc>
          <w:tcPr>
            <w:tcW w:w="988" w:type="dxa"/>
            <w:tcBorders>
              <w:top w:val="single" w:sz="4" w:space="0" w:color="auto"/>
            </w:tcBorders>
            <w:vAlign w:val="center"/>
          </w:tcPr>
          <w:p w14:paraId="2054A8A7"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6AD6CFA1" w14:textId="77777777" w:rsidR="00811643" w:rsidRPr="00D9678A" w:rsidRDefault="00811643" w:rsidP="00EF3EDB">
            <w:pPr>
              <w:rPr>
                <w:rFonts w:cstheme="minorHAnsi"/>
                <w:b/>
                <w:bCs/>
                <w:color w:val="D60B52"/>
              </w:rPr>
            </w:pPr>
          </w:p>
        </w:tc>
      </w:tr>
      <w:tr w:rsidR="000D6B3F" w:rsidRPr="00D9678A" w14:paraId="588B9194" w14:textId="77777777" w:rsidTr="00D9678A">
        <w:tc>
          <w:tcPr>
            <w:tcW w:w="988" w:type="dxa"/>
            <w:vAlign w:val="center"/>
          </w:tcPr>
          <w:p w14:paraId="0B1FCAF0" w14:textId="385DF547" w:rsidR="000D6B3F" w:rsidRPr="00D9678A" w:rsidRDefault="00B37726" w:rsidP="00EF3EDB">
            <w:pPr>
              <w:rPr>
                <w:rFonts w:cstheme="minorHAnsi"/>
                <w:b/>
                <w:bCs/>
                <w:u w:val="single"/>
              </w:rPr>
            </w:pPr>
            <w:r w:rsidRPr="00D9678A">
              <w:rPr>
                <w:rFonts w:cstheme="minorHAnsi"/>
                <w:b/>
                <w:bCs/>
                <w:color w:val="D60B52"/>
              </w:rPr>
              <w:t>RISK 5</w:t>
            </w:r>
          </w:p>
        </w:tc>
        <w:tc>
          <w:tcPr>
            <w:tcW w:w="9355" w:type="dxa"/>
            <w:gridSpan w:val="2"/>
            <w:vAlign w:val="center"/>
          </w:tcPr>
          <w:p w14:paraId="21D3E1D6" w14:textId="57A4DE03" w:rsidR="000D6B3F" w:rsidRPr="00D9678A" w:rsidRDefault="00B37726" w:rsidP="00EF3EDB">
            <w:pPr>
              <w:rPr>
                <w:rFonts w:cstheme="minorHAnsi"/>
                <w:b/>
                <w:bCs/>
                <w:color w:val="D60B52"/>
              </w:rPr>
            </w:pPr>
            <w:r w:rsidRPr="00D9678A">
              <w:rPr>
                <w:rFonts w:cstheme="minorHAnsi"/>
                <w:b/>
                <w:bCs/>
                <w:color w:val="D60B52"/>
              </w:rPr>
              <w:t>Denial of service or loss of personal/sensitive information due to cyber threats to digital services</w:t>
            </w:r>
          </w:p>
        </w:tc>
      </w:tr>
      <w:tr w:rsidR="000D6B3F" w:rsidRPr="00D9678A" w14:paraId="23EE271F" w14:textId="77777777" w:rsidTr="00D9678A">
        <w:tc>
          <w:tcPr>
            <w:tcW w:w="10343" w:type="dxa"/>
            <w:gridSpan w:val="3"/>
            <w:tcBorders>
              <w:bottom w:val="single" w:sz="4" w:space="0" w:color="auto"/>
            </w:tcBorders>
            <w:vAlign w:val="center"/>
          </w:tcPr>
          <w:p w14:paraId="18B61F4C" w14:textId="77777777" w:rsidR="00555B56" w:rsidRPr="00D9678A" w:rsidRDefault="00A52A12" w:rsidP="00D106D8">
            <w:pPr>
              <w:pStyle w:val="ListParagraph"/>
              <w:numPr>
                <w:ilvl w:val="0"/>
                <w:numId w:val="4"/>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Data protection and cyber security become greater concerns as services and underlying technologies shift to digital implementations and have higher degrees of data dependency. This requires that systems and the workforce are prepared for data protection and security.</w:t>
            </w:r>
            <w:r w:rsidRPr="00D9678A">
              <w:rPr>
                <w:rFonts w:cstheme="minorHAnsi"/>
              </w:rPr>
              <w:tab/>
            </w:r>
          </w:p>
          <w:p w14:paraId="084FDB6A" w14:textId="77777777" w:rsidR="00555B56" w:rsidRPr="00D9678A" w:rsidRDefault="00A52A12" w:rsidP="00EF3EDB">
            <w:pPr>
              <w:pStyle w:val="ListParagraph"/>
              <w:numPr>
                <w:ilvl w:val="0"/>
                <w:numId w:val="4"/>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If systems are not re-appraised and re-designed and the necessary skills are not available, there is a risk that TEC services could be disrupted by cyber-attack, with a resulting loss of credibility and an unwillingness amongst consumers to share their data.</w:t>
            </w:r>
          </w:p>
          <w:p w14:paraId="44D5F80B" w14:textId="77777777" w:rsidR="00A52A12" w:rsidRPr="00D9678A" w:rsidRDefault="00A52A12" w:rsidP="00555B56">
            <w:pPr>
              <w:pStyle w:val="ListParagraph"/>
              <w:numPr>
                <w:ilvl w:val="0"/>
                <w:numId w:val="4"/>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 xml:space="preserve">Engage with government departments and representative bodies with responsibilities for information security, to derive a coordinated TEC plan for data protection, security, </w:t>
            </w:r>
            <w:proofErr w:type="gramStart"/>
            <w:r w:rsidRPr="00D9678A">
              <w:rPr>
                <w:rFonts w:cstheme="minorHAnsi"/>
              </w:rPr>
              <w:t>education</w:t>
            </w:r>
            <w:proofErr w:type="gramEnd"/>
            <w:r w:rsidRPr="00D9678A">
              <w:rPr>
                <w:rFonts w:cstheme="minorHAnsi"/>
              </w:rPr>
              <w:t xml:space="preserve"> and training. </w:t>
            </w:r>
          </w:p>
          <w:p w14:paraId="1995D3E1" w14:textId="44B3E7F2" w:rsidR="00D9678A" w:rsidRPr="00D9678A" w:rsidRDefault="00D9678A" w:rsidP="00D9678A">
            <w:pPr>
              <w:pStyle w:val="ListParagraph"/>
              <w:rPr>
                <w:rFonts w:cstheme="minorHAnsi"/>
              </w:rPr>
            </w:pPr>
          </w:p>
        </w:tc>
      </w:tr>
      <w:tr w:rsidR="00811643" w:rsidRPr="00D9678A" w14:paraId="099BD867" w14:textId="77777777" w:rsidTr="00D9678A">
        <w:tc>
          <w:tcPr>
            <w:tcW w:w="988" w:type="dxa"/>
            <w:tcBorders>
              <w:top w:val="single" w:sz="4" w:space="0" w:color="auto"/>
            </w:tcBorders>
            <w:vAlign w:val="center"/>
          </w:tcPr>
          <w:p w14:paraId="1689F41C" w14:textId="44161D58" w:rsidR="00DF6355" w:rsidRPr="00D9678A" w:rsidRDefault="00DF6355" w:rsidP="00EF3EDB">
            <w:pPr>
              <w:rPr>
                <w:rFonts w:cstheme="minorHAnsi"/>
                <w:b/>
                <w:bCs/>
                <w:color w:val="D60B52"/>
              </w:rPr>
            </w:pPr>
          </w:p>
        </w:tc>
        <w:tc>
          <w:tcPr>
            <w:tcW w:w="9355" w:type="dxa"/>
            <w:gridSpan w:val="2"/>
            <w:tcBorders>
              <w:top w:val="single" w:sz="4" w:space="0" w:color="auto"/>
            </w:tcBorders>
            <w:vAlign w:val="center"/>
          </w:tcPr>
          <w:p w14:paraId="456688D3" w14:textId="77777777" w:rsidR="00811643" w:rsidRPr="00D9678A" w:rsidRDefault="00811643" w:rsidP="00EF3EDB">
            <w:pPr>
              <w:rPr>
                <w:rFonts w:cstheme="minorHAnsi"/>
                <w:b/>
                <w:bCs/>
                <w:color w:val="D60B52"/>
              </w:rPr>
            </w:pPr>
          </w:p>
        </w:tc>
      </w:tr>
      <w:tr w:rsidR="000D6B3F" w:rsidRPr="00D9678A" w14:paraId="2DE1F212" w14:textId="77777777" w:rsidTr="00D9678A">
        <w:tc>
          <w:tcPr>
            <w:tcW w:w="988" w:type="dxa"/>
            <w:vAlign w:val="center"/>
          </w:tcPr>
          <w:p w14:paraId="58FA8563" w14:textId="5694C48B" w:rsidR="000D6B3F" w:rsidRPr="00D9678A" w:rsidRDefault="00B37726" w:rsidP="00EF3EDB">
            <w:pPr>
              <w:rPr>
                <w:rFonts w:cstheme="minorHAnsi"/>
                <w:b/>
                <w:bCs/>
                <w:u w:val="single"/>
              </w:rPr>
            </w:pPr>
            <w:r w:rsidRPr="00D9678A">
              <w:rPr>
                <w:rFonts w:cstheme="minorHAnsi"/>
                <w:b/>
                <w:bCs/>
                <w:color w:val="D60B52"/>
              </w:rPr>
              <w:t>RISK 6</w:t>
            </w:r>
          </w:p>
        </w:tc>
        <w:tc>
          <w:tcPr>
            <w:tcW w:w="9355" w:type="dxa"/>
            <w:gridSpan w:val="2"/>
            <w:vAlign w:val="center"/>
          </w:tcPr>
          <w:p w14:paraId="6743C4CE" w14:textId="6AE5EF2E" w:rsidR="000D6B3F" w:rsidRPr="00D9678A" w:rsidRDefault="00B37726" w:rsidP="00EF3EDB">
            <w:pPr>
              <w:rPr>
                <w:rFonts w:cstheme="minorHAnsi"/>
                <w:b/>
                <w:bCs/>
                <w:color w:val="D60B52"/>
              </w:rPr>
            </w:pPr>
            <w:r w:rsidRPr="00D9678A">
              <w:rPr>
                <w:rFonts w:cstheme="minorHAnsi"/>
                <w:b/>
                <w:bCs/>
                <w:color w:val="D60B52"/>
              </w:rPr>
              <w:t>Digital offerings from TEC suppliers fail to attract commissioners and new users</w:t>
            </w:r>
          </w:p>
        </w:tc>
      </w:tr>
      <w:tr w:rsidR="000D6B3F" w:rsidRPr="00D9678A" w14:paraId="27F9DC8E" w14:textId="77777777" w:rsidTr="00D9678A">
        <w:tc>
          <w:tcPr>
            <w:tcW w:w="10343" w:type="dxa"/>
            <w:gridSpan w:val="3"/>
            <w:tcBorders>
              <w:bottom w:val="single" w:sz="4" w:space="0" w:color="auto"/>
            </w:tcBorders>
            <w:vAlign w:val="center"/>
          </w:tcPr>
          <w:p w14:paraId="4BD10017" w14:textId="77777777" w:rsidR="00555B56" w:rsidRPr="00D9678A" w:rsidRDefault="00A52A12" w:rsidP="00017780">
            <w:pPr>
              <w:pStyle w:val="ListParagraph"/>
              <w:numPr>
                <w:ilvl w:val="0"/>
                <w:numId w:val="5"/>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Service providers criticise emergent digital TEC as being incomplete, lacking interoperability between suppliers and evidence of reliability, and that digital 'replicas' of older analogue solutions offer little or no benefit for a much higher purchase cost.</w:t>
            </w:r>
          </w:p>
          <w:p w14:paraId="4AB02E11" w14:textId="77777777" w:rsidR="00555B56" w:rsidRPr="00D9678A" w:rsidRDefault="00A52A12" w:rsidP="00EF3EDB">
            <w:pPr>
              <w:pStyle w:val="ListParagraph"/>
              <w:numPr>
                <w:ilvl w:val="0"/>
                <w:numId w:val="5"/>
              </w:numPr>
              <w:rPr>
                <w:rFonts w:cstheme="minorHAnsi"/>
              </w:rPr>
            </w:pPr>
            <w:r w:rsidRPr="00D9678A">
              <w:rPr>
                <w:rFonts w:cstheme="minorHAnsi"/>
                <w:b/>
                <w:bCs/>
              </w:rPr>
              <w:t xml:space="preserve">Impact </w:t>
            </w:r>
            <w:r w:rsidR="00555B56" w:rsidRPr="00D9678A">
              <w:rPr>
                <w:rFonts w:cstheme="minorHAnsi"/>
                <w:b/>
                <w:bCs/>
              </w:rPr>
              <w:br/>
            </w:r>
            <w:r w:rsidRPr="00D9678A">
              <w:rPr>
                <w:rFonts w:cstheme="minorHAnsi"/>
              </w:rPr>
              <w:t>If the TEC industry cannot provide a compelling strategy for digital transition, there will be a lack of investment. This may delay digital changeover, with reputational damage.</w:t>
            </w:r>
          </w:p>
          <w:p w14:paraId="3B1B7FFB" w14:textId="77777777" w:rsidR="00A52A12" w:rsidRPr="00D9678A" w:rsidRDefault="00A52A12" w:rsidP="00555B56">
            <w:pPr>
              <w:pStyle w:val="ListParagraph"/>
              <w:numPr>
                <w:ilvl w:val="0"/>
                <w:numId w:val="5"/>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Technology and service providers need to communicate compelling user case studies and wellbeing outcomes, and evidence of reliable operation of digital solutions to commissioner and consumer groups</w:t>
            </w:r>
            <w:r w:rsidR="00D9678A" w:rsidRPr="00D9678A">
              <w:rPr>
                <w:rFonts w:cstheme="minorHAnsi"/>
              </w:rPr>
              <w:t>.</w:t>
            </w:r>
          </w:p>
          <w:p w14:paraId="025F9593" w14:textId="48CB5227" w:rsidR="00D9678A" w:rsidRPr="00D9678A" w:rsidRDefault="00D9678A" w:rsidP="00D9678A">
            <w:pPr>
              <w:pStyle w:val="ListParagraph"/>
              <w:rPr>
                <w:rFonts w:cstheme="minorHAnsi"/>
              </w:rPr>
            </w:pPr>
          </w:p>
        </w:tc>
      </w:tr>
      <w:tr w:rsidR="00811643" w:rsidRPr="00D9678A" w14:paraId="440717C2" w14:textId="77777777" w:rsidTr="00D9678A">
        <w:tc>
          <w:tcPr>
            <w:tcW w:w="988" w:type="dxa"/>
            <w:tcBorders>
              <w:top w:val="single" w:sz="4" w:space="0" w:color="auto"/>
            </w:tcBorders>
            <w:vAlign w:val="center"/>
          </w:tcPr>
          <w:p w14:paraId="59433829"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5A292BCE" w14:textId="77777777" w:rsidR="00D9678A" w:rsidRDefault="00D9678A" w:rsidP="00EF3EDB">
            <w:pPr>
              <w:rPr>
                <w:rFonts w:cstheme="minorHAnsi"/>
                <w:b/>
                <w:bCs/>
                <w:color w:val="D60B52"/>
              </w:rPr>
            </w:pPr>
          </w:p>
          <w:p w14:paraId="02CE6BB8" w14:textId="4D47E501" w:rsidR="004C130C" w:rsidRPr="00D9678A" w:rsidRDefault="004C130C" w:rsidP="00EF3EDB">
            <w:pPr>
              <w:rPr>
                <w:rFonts w:cstheme="minorHAnsi"/>
                <w:b/>
                <w:bCs/>
                <w:color w:val="D60B52"/>
              </w:rPr>
            </w:pPr>
          </w:p>
        </w:tc>
      </w:tr>
      <w:tr w:rsidR="000D6B3F" w:rsidRPr="00D9678A" w14:paraId="15934756" w14:textId="77777777" w:rsidTr="00D9678A">
        <w:tc>
          <w:tcPr>
            <w:tcW w:w="988" w:type="dxa"/>
            <w:vAlign w:val="center"/>
          </w:tcPr>
          <w:p w14:paraId="7A6FFDC7" w14:textId="04F32928" w:rsidR="000D6B3F" w:rsidRPr="00D9678A" w:rsidRDefault="00B37726" w:rsidP="00EF3EDB">
            <w:pPr>
              <w:rPr>
                <w:rFonts w:cstheme="minorHAnsi"/>
                <w:b/>
                <w:bCs/>
                <w:u w:val="single"/>
              </w:rPr>
            </w:pPr>
            <w:r w:rsidRPr="00D9678A">
              <w:rPr>
                <w:rFonts w:cstheme="minorHAnsi"/>
                <w:b/>
                <w:bCs/>
                <w:color w:val="D60B52"/>
              </w:rPr>
              <w:lastRenderedPageBreak/>
              <w:t>RISK 7</w:t>
            </w:r>
          </w:p>
        </w:tc>
        <w:tc>
          <w:tcPr>
            <w:tcW w:w="9355" w:type="dxa"/>
            <w:gridSpan w:val="2"/>
            <w:vAlign w:val="center"/>
          </w:tcPr>
          <w:p w14:paraId="5C251494" w14:textId="1215AC9A" w:rsidR="000D6B3F" w:rsidRPr="00D9678A" w:rsidRDefault="00B37726" w:rsidP="00EF3EDB">
            <w:pPr>
              <w:rPr>
                <w:rFonts w:cstheme="minorHAnsi"/>
                <w:b/>
                <w:bCs/>
                <w:color w:val="D60B52"/>
              </w:rPr>
            </w:pPr>
            <w:r w:rsidRPr="00D9678A">
              <w:rPr>
                <w:rFonts w:cstheme="minorHAnsi"/>
                <w:b/>
                <w:bCs/>
                <w:color w:val="D60B52"/>
              </w:rPr>
              <w:t>Equipment Supply failures and shortages restrict access to TEC services</w:t>
            </w:r>
          </w:p>
        </w:tc>
      </w:tr>
      <w:tr w:rsidR="000D6B3F" w:rsidRPr="00D9678A" w14:paraId="02B01D8F" w14:textId="77777777" w:rsidTr="00D9678A">
        <w:tc>
          <w:tcPr>
            <w:tcW w:w="10343" w:type="dxa"/>
            <w:gridSpan w:val="3"/>
            <w:tcBorders>
              <w:bottom w:val="single" w:sz="4" w:space="0" w:color="auto"/>
            </w:tcBorders>
            <w:vAlign w:val="center"/>
          </w:tcPr>
          <w:p w14:paraId="28F11C4E" w14:textId="77777777" w:rsidR="00D76F70" w:rsidRPr="00D9678A" w:rsidRDefault="00D76F70" w:rsidP="00D76F70">
            <w:pPr>
              <w:pStyle w:val="ListParagraph"/>
              <w:rPr>
                <w:rFonts w:cstheme="minorHAnsi"/>
                <w:b/>
                <w:bCs/>
              </w:rPr>
            </w:pPr>
          </w:p>
          <w:p w14:paraId="57D62C89" w14:textId="6814A6A7" w:rsidR="00555B56" w:rsidRPr="00D9678A" w:rsidRDefault="00A52A12" w:rsidP="001D5C9C">
            <w:pPr>
              <w:pStyle w:val="ListParagraph"/>
              <w:numPr>
                <w:ilvl w:val="0"/>
                <w:numId w:val="6"/>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Global supply chains have been impacted by </w:t>
            </w:r>
            <w:r w:rsidR="00D82607">
              <w:rPr>
                <w:rFonts w:cstheme="minorHAnsi"/>
              </w:rPr>
              <w:t>recent events</w:t>
            </w:r>
            <w:r w:rsidRPr="00D9678A">
              <w:rPr>
                <w:rFonts w:cstheme="minorHAnsi"/>
              </w:rPr>
              <w:t xml:space="preserve">, creating shortages of TEC equipment and components. </w:t>
            </w:r>
          </w:p>
          <w:p w14:paraId="1CE532BD" w14:textId="77777777" w:rsidR="00555B56" w:rsidRPr="00D9678A" w:rsidRDefault="00A52A12" w:rsidP="002272B4">
            <w:pPr>
              <w:pStyle w:val="ListParagraph"/>
              <w:numPr>
                <w:ilvl w:val="0"/>
                <w:numId w:val="6"/>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Growing demands for digital devices may have a greater impact on the TEC industry than current "analogue" supply chains. This could impact the ability of the TEC industry to meet customer's requirements and may hinder future growth.</w:t>
            </w:r>
          </w:p>
          <w:p w14:paraId="1E05411B" w14:textId="77777777" w:rsidR="00B05F72" w:rsidRPr="00D9678A" w:rsidRDefault="00A52A12" w:rsidP="00B05F72">
            <w:pPr>
              <w:pStyle w:val="ListParagraph"/>
              <w:numPr>
                <w:ilvl w:val="0"/>
                <w:numId w:val="6"/>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TEC suppliers need to provide forecasts of product availability. The sector also needs to encourage access to alternative TEC product solutions, based on accessible, consumer technologies.</w:t>
            </w:r>
          </w:p>
          <w:p w14:paraId="378EF740" w14:textId="44D79894" w:rsidR="00D76F70" w:rsidRPr="00D9678A" w:rsidRDefault="00D76F70" w:rsidP="00D76F70">
            <w:pPr>
              <w:pStyle w:val="ListParagraph"/>
              <w:rPr>
                <w:rFonts w:cstheme="minorHAnsi"/>
              </w:rPr>
            </w:pPr>
          </w:p>
        </w:tc>
      </w:tr>
      <w:tr w:rsidR="00DF6355" w:rsidRPr="00D9678A" w14:paraId="0B54A87C" w14:textId="77777777" w:rsidTr="00D9678A">
        <w:tc>
          <w:tcPr>
            <w:tcW w:w="988" w:type="dxa"/>
            <w:tcBorders>
              <w:top w:val="single" w:sz="4" w:space="0" w:color="auto"/>
            </w:tcBorders>
            <w:vAlign w:val="center"/>
          </w:tcPr>
          <w:p w14:paraId="088CC9CD" w14:textId="1D15226F" w:rsidR="00DF6355" w:rsidRPr="00D9678A" w:rsidRDefault="00DF6355" w:rsidP="00DF6355">
            <w:pPr>
              <w:rPr>
                <w:rFonts w:cstheme="minorHAnsi"/>
                <w:b/>
                <w:bCs/>
                <w:color w:val="D60B52"/>
              </w:rPr>
            </w:pPr>
          </w:p>
        </w:tc>
        <w:tc>
          <w:tcPr>
            <w:tcW w:w="9355" w:type="dxa"/>
            <w:gridSpan w:val="2"/>
            <w:tcBorders>
              <w:top w:val="single" w:sz="4" w:space="0" w:color="auto"/>
            </w:tcBorders>
            <w:vAlign w:val="center"/>
          </w:tcPr>
          <w:p w14:paraId="1C267B4B" w14:textId="0400BB24" w:rsidR="00D9678A" w:rsidRPr="00D9678A" w:rsidRDefault="00D9678A" w:rsidP="00DF6355">
            <w:pPr>
              <w:rPr>
                <w:rFonts w:cstheme="minorHAnsi"/>
                <w:b/>
                <w:bCs/>
                <w:color w:val="D60B52"/>
              </w:rPr>
            </w:pPr>
          </w:p>
        </w:tc>
      </w:tr>
      <w:tr w:rsidR="000D6B3F" w:rsidRPr="00D9678A" w14:paraId="7D3A5978" w14:textId="77777777" w:rsidTr="00D9678A">
        <w:tc>
          <w:tcPr>
            <w:tcW w:w="988" w:type="dxa"/>
            <w:vAlign w:val="center"/>
          </w:tcPr>
          <w:p w14:paraId="13806826" w14:textId="3446527D" w:rsidR="000D6B3F" w:rsidRPr="00D9678A" w:rsidRDefault="00B37726" w:rsidP="00EF3EDB">
            <w:pPr>
              <w:rPr>
                <w:rFonts w:cstheme="minorHAnsi"/>
                <w:b/>
                <w:bCs/>
                <w:u w:val="single"/>
              </w:rPr>
            </w:pPr>
            <w:r w:rsidRPr="00D9678A">
              <w:rPr>
                <w:rFonts w:cstheme="minorHAnsi"/>
                <w:b/>
                <w:bCs/>
                <w:color w:val="D60B52"/>
              </w:rPr>
              <w:t>RISK 8</w:t>
            </w:r>
          </w:p>
        </w:tc>
        <w:tc>
          <w:tcPr>
            <w:tcW w:w="9355" w:type="dxa"/>
            <w:gridSpan w:val="2"/>
            <w:vAlign w:val="center"/>
          </w:tcPr>
          <w:p w14:paraId="3925E120" w14:textId="648B5135" w:rsidR="000D6B3F" w:rsidRPr="00D9678A" w:rsidRDefault="00B37726" w:rsidP="00EF3EDB">
            <w:pPr>
              <w:rPr>
                <w:rFonts w:cstheme="minorHAnsi"/>
                <w:b/>
                <w:bCs/>
                <w:color w:val="D60B52"/>
              </w:rPr>
            </w:pPr>
            <w:r w:rsidRPr="00D9678A">
              <w:rPr>
                <w:rFonts w:cstheme="minorHAnsi"/>
                <w:b/>
                <w:bCs/>
                <w:color w:val="D60B52"/>
              </w:rPr>
              <w:t>Cost of digital transition makes TEC unaffordable, resulting in a decline of existing users</w:t>
            </w:r>
          </w:p>
        </w:tc>
      </w:tr>
      <w:tr w:rsidR="000D6B3F" w:rsidRPr="00D9678A" w14:paraId="4980E725" w14:textId="77777777" w:rsidTr="00D9678A">
        <w:tc>
          <w:tcPr>
            <w:tcW w:w="10343" w:type="dxa"/>
            <w:gridSpan w:val="3"/>
            <w:tcBorders>
              <w:bottom w:val="single" w:sz="4" w:space="0" w:color="auto"/>
            </w:tcBorders>
            <w:vAlign w:val="center"/>
          </w:tcPr>
          <w:p w14:paraId="610E3262" w14:textId="77777777" w:rsidR="00D76F70" w:rsidRPr="00D9678A" w:rsidRDefault="00D76F70" w:rsidP="00D76F70">
            <w:pPr>
              <w:pStyle w:val="ListParagraph"/>
              <w:rPr>
                <w:rFonts w:cstheme="minorHAnsi"/>
                <w:b/>
                <w:bCs/>
              </w:rPr>
            </w:pPr>
          </w:p>
          <w:p w14:paraId="41EBF7E2" w14:textId="4A9F6C65" w:rsidR="00555B56" w:rsidRPr="00D9678A" w:rsidRDefault="00A52A12" w:rsidP="00415DD1">
            <w:pPr>
              <w:pStyle w:val="ListParagraph"/>
              <w:numPr>
                <w:ilvl w:val="0"/>
                <w:numId w:val="7"/>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TEC services may be unable to fund "analogue to digital" transition plans, leading to withdrawal of services, reduced TEC commissioning or increased costs to consumers. </w:t>
            </w:r>
          </w:p>
          <w:p w14:paraId="1EB83CAC" w14:textId="77777777" w:rsidR="00555B56" w:rsidRPr="00D9678A" w:rsidRDefault="00A52A12" w:rsidP="004A2F26">
            <w:pPr>
              <w:pStyle w:val="ListParagraph"/>
              <w:numPr>
                <w:ilvl w:val="0"/>
                <w:numId w:val="7"/>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The increasing costs of digital products will put further pressure on social care budgets and may lead to commissioners and customers disengaging from TEC solutions, leading to market decline. This will challenge the viability of services and thereby put users at risk. </w:t>
            </w:r>
          </w:p>
          <w:p w14:paraId="0CA56CA0" w14:textId="77777777" w:rsidR="00A52A12" w:rsidRPr="00D9678A" w:rsidRDefault="00A52A12" w:rsidP="00555B56">
            <w:pPr>
              <w:pStyle w:val="ListParagraph"/>
              <w:numPr>
                <w:ilvl w:val="0"/>
                <w:numId w:val="7"/>
              </w:numPr>
              <w:rPr>
                <w:rFonts w:cstheme="minorHAnsi"/>
                <w:b/>
                <w:bCs/>
                <w:u w:val="single"/>
              </w:rPr>
            </w:pPr>
            <w:r w:rsidRPr="00D9678A">
              <w:rPr>
                <w:rFonts w:cstheme="minorHAnsi"/>
                <w:b/>
                <w:bCs/>
              </w:rPr>
              <w:t xml:space="preserve">Mitigating actions </w:t>
            </w:r>
            <w:r w:rsidR="00555B56" w:rsidRPr="00D9678A">
              <w:rPr>
                <w:rFonts w:cstheme="minorHAnsi"/>
                <w:b/>
                <w:bCs/>
              </w:rPr>
              <w:br/>
            </w:r>
            <w:r w:rsidRPr="00D9678A">
              <w:rPr>
                <w:rFonts w:cstheme="minorHAnsi"/>
              </w:rPr>
              <w:t>Pursue government funds for digitisation, that provoke innovation in the delivery of cost-effective, digital TEC and the incorporation of accessible, consumer technologies.</w:t>
            </w:r>
          </w:p>
          <w:p w14:paraId="396A991E" w14:textId="78AFD5AE" w:rsidR="00D76F70" w:rsidRPr="00D9678A" w:rsidRDefault="00D76F70" w:rsidP="00D76F70">
            <w:pPr>
              <w:pStyle w:val="ListParagraph"/>
              <w:rPr>
                <w:rFonts w:cstheme="minorHAnsi"/>
                <w:b/>
                <w:bCs/>
                <w:u w:val="single"/>
              </w:rPr>
            </w:pPr>
          </w:p>
        </w:tc>
      </w:tr>
      <w:tr w:rsidR="00811643" w:rsidRPr="00D9678A" w14:paraId="0E64CAD6" w14:textId="77777777" w:rsidTr="00D9678A">
        <w:tc>
          <w:tcPr>
            <w:tcW w:w="988" w:type="dxa"/>
            <w:tcBorders>
              <w:top w:val="single" w:sz="4" w:space="0" w:color="auto"/>
            </w:tcBorders>
            <w:vAlign w:val="center"/>
          </w:tcPr>
          <w:p w14:paraId="3C57CD30"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0F6770F3" w14:textId="77777777" w:rsidR="00811643" w:rsidRPr="00D9678A" w:rsidRDefault="00811643" w:rsidP="00EF3EDB">
            <w:pPr>
              <w:rPr>
                <w:rFonts w:cstheme="minorHAnsi"/>
                <w:b/>
                <w:bCs/>
                <w:color w:val="D60B52"/>
              </w:rPr>
            </w:pPr>
          </w:p>
        </w:tc>
      </w:tr>
      <w:tr w:rsidR="000D6B3F" w:rsidRPr="00D9678A" w14:paraId="63EC3AD3" w14:textId="77777777" w:rsidTr="00D9678A">
        <w:tc>
          <w:tcPr>
            <w:tcW w:w="988" w:type="dxa"/>
            <w:vAlign w:val="center"/>
          </w:tcPr>
          <w:p w14:paraId="3A31AB8F" w14:textId="24508602" w:rsidR="000D6B3F" w:rsidRPr="00D9678A" w:rsidRDefault="00B37726" w:rsidP="00EF3EDB">
            <w:pPr>
              <w:rPr>
                <w:rFonts w:cstheme="minorHAnsi"/>
                <w:b/>
                <w:bCs/>
                <w:u w:val="single"/>
              </w:rPr>
            </w:pPr>
            <w:r w:rsidRPr="00D9678A">
              <w:rPr>
                <w:rFonts w:cstheme="minorHAnsi"/>
                <w:b/>
                <w:bCs/>
                <w:color w:val="D60B52"/>
              </w:rPr>
              <w:t>RISK 9</w:t>
            </w:r>
          </w:p>
        </w:tc>
        <w:tc>
          <w:tcPr>
            <w:tcW w:w="9355" w:type="dxa"/>
            <w:gridSpan w:val="2"/>
            <w:vAlign w:val="center"/>
          </w:tcPr>
          <w:p w14:paraId="02BB3BA8" w14:textId="4FB7401C" w:rsidR="000D6B3F" w:rsidRPr="00D9678A" w:rsidRDefault="00B37726" w:rsidP="00EF3EDB">
            <w:pPr>
              <w:rPr>
                <w:rFonts w:cstheme="minorHAnsi"/>
                <w:b/>
                <w:bCs/>
                <w:color w:val="D60B52"/>
              </w:rPr>
            </w:pPr>
            <w:r w:rsidRPr="00D9678A">
              <w:rPr>
                <w:rFonts w:cstheme="minorHAnsi"/>
                <w:b/>
                <w:bCs/>
                <w:color w:val="D60B52"/>
              </w:rPr>
              <w:t>Digital skills shortages impact the continued supply of TEC services</w:t>
            </w:r>
          </w:p>
        </w:tc>
      </w:tr>
      <w:tr w:rsidR="000D6B3F" w:rsidRPr="00D9678A" w14:paraId="67D4D12F" w14:textId="77777777" w:rsidTr="00D9678A">
        <w:tc>
          <w:tcPr>
            <w:tcW w:w="10343" w:type="dxa"/>
            <w:gridSpan w:val="3"/>
            <w:tcBorders>
              <w:bottom w:val="single" w:sz="4" w:space="0" w:color="auto"/>
            </w:tcBorders>
            <w:vAlign w:val="center"/>
          </w:tcPr>
          <w:p w14:paraId="0B2D1158" w14:textId="77777777" w:rsidR="00D76F70" w:rsidRPr="00D9678A" w:rsidRDefault="00D76F70" w:rsidP="00D76F70">
            <w:pPr>
              <w:pStyle w:val="ListParagraph"/>
              <w:rPr>
                <w:rFonts w:cstheme="minorHAnsi"/>
                <w:b/>
                <w:bCs/>
              </w:rPr>
            </w:pPr>
          </w:p>
          <w:p w14:paraId="1621E970" w14:textId="4144E5B4" w:rsidR="00555B56" w:rsidRPr="00D9678A" w:rsidRDefault="00A52A12" w:rsidP="00A2399D">
            <w:pPr>
              <w:pStyle w:val="ListParagraph"/>
              <w:numPr>
                <w:ilvl w:val="0"/>
                <w:numId w:val="8"/>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The workforce skills and capabilities required in a digital world are different from an analogue world and the TEC industry may struggle to upskill existing staff or attract new staff.</w:t>
            </w:r>
          </w:p>
          <w:p w14:paraId="6AFD983F" w14:textId="77777777" w:rsidR="00555B56" w:rsidRPr="00D9678A" w:rsidRDefault="00A52A12" w:rsidP="00D85DAC">
            <w:pPr>
              <w:pStyle w:val="ListParagraph"/>
              <w:numPr>
                <w:ilvl w:val="0"/>
                <w:numId w:val="8"/>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A low digital maturity of the TEC workforce, particularly in areas of digital design, information security, data analytics and cyber security, will hold back the delivery of digital TEC solutions. </w:t>
            </w:r>
          </w:p>
          <w:p w14:paraId="0973D111" w14:textId="77777777" w:rsidR="00A52A12" w:rsidRPr="00D9678A" w:rsidRDefault="00A52A12" w:rsidP="00555B56">
            <w:pPr>
              <w:pStyle w:val="ListParagraph"/>
              <w:numPr>
                <w:ilvl w:val="0"/>
                <w:numId w:val="8"/>
              </w:numPr>
              <w:rPr>
                <w:rFonts w:cstheme="minorHAnsi"/>
                <w:b/>
                <w:bCs/>
                <w:u w:val="single"/>
              </w:rPr>
            </w:pPr>
            <w:r w:rsidRPr="00D9678A">
              <w:rPr>
                <w:rFonts w:cstheme="minorHAnsi"/>
                <w:b/>
                <w:bCs/>
              </w:rPr>
              <w:t xml:space="preserve">Mitigating actions </w:t>
            </w:r>
            <w:r w:rsidR="00555B56" w:rsidRPr="00D9678A">
              <w:rPr>
                <w:rFonts w:cstheme="minorHAnsi"/>
                <w:b/>
                <w:bCs/>
              </w:rPr>
              <w:br/>
            </w:r>
            <w:r w:rsidRPr="00D9678A">
              <w:rPr>
                <w:rFonts w:cstheme="minorHAnsi"/>
              </w:rPr>
              <w:t>The TEC sector needs to examine and build the status of digital skills and TEC training amongst care staff at all levels.</w:t>
            </w:r>
          </w:p>
          <w:p w14:paraId="71305FB7" w14:textId="5AFF2679" w:rsidR="00D76F70" w:rsidRPr="00D9678A" w:rsidRDefault="00D76F70" w:rsidP="00D76F70">
            <w:pPr>
              <w:pStyle w:val="ListParagraph"/>
              <w:rPr>
                <w:rFonts w:cstheme="minorHAnsi"/>
                <w:b/>
                <w:bCs/>
                <w:u w:val="single"/>
              </w:rPr>
            </w:pPr>
          </w:p>
        </w:tc>
      </w:tr>
      <w:tr w:rsidR="00811643" w:rsidRPr="00D9678A" w14:paraId="0A61FB56" w14:textId="77777777" w:rsidTr="00D9678A">
        <w:tc>
          <w:tcPr>
            <w:tcW w:w="988" w:type="dxa"/>
            <w:tcBorders>
              <w:top w:val="single" w:sz="4" w:space="0" w:color="auto"/>
            </w:tcBorders>
            <w:vAlign w:val="center"/>
          </w:tcPr>
          <w:p w14:paraId="0056D077"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1D8820E0" w14:textId="77777777" w:rsidR="00811643" w:rsidRPr="00D9678A" w:rsidRDefault="00811643" w:rsidP="00EF3EDB">
            <w:pPr>
              <w:rPr>
                <w:rFonts w:cstheme="minorHAnsi"/>
                <w:b/>
                <w:bCs/>
                <w:color w:val="D60B52"/>
              </w:rPr>
            </w:pPr>
          </w:p>
        </w:tc>
      </w:tr>
      <w:tr w:rsidR="000D6B3F" w:rsidRPr="00D9678A" w14:paraId="4C50332C" w14:textId="77777777" w:rsidTr="00D9678A">
        <w:tc>
          <w:tcPr>
            <w:tcW w:w="988" w:type="dxa"/>
            <w:vAlign w:val="center"/>
          </w:tcPr>
          <w:p w14:paraId="56074312" w14:textId="4031C97A" w:rsidR="000D6B3F" w:rsidRPr="00D9678A" w:rsidRDefault="00B37726" w:rsidP="00EF3EDB">
            <w:pPr>
              <w:rPr>
                <w:rFonts w:cstheme="minorHAnsi"/>
                <w:b/>
                <w:bCs/>
                <w:u w:val="single"/>
              </w:rPr>
            </w:pPr>
            <w:r w:rsidRPr="00D9678A">
              <w:rPr>
                <w:rFonts w:cstheme="minorHAnsi"/>
                <w:b/>
                <w:bCs/>
                <w:color w:val="D60B52"/>
              </w:rPr>
              <w:t>RISK 10</w:t>
            </w:r>
          </w:p>
        </w:tc>
        <w:tc>
          <w:tcPr>
            <w:tcW w:w="9355" w:type="dxa"/>
            <w:gridSpan w:val="2"/>
            <w:vAlign w:val="center"/>
          </w:tcPr>
          <w:p w14:paraId="4B31B095" w14:textId="4423548E" w:rsidR="000D6B3F" w:rsidRPr="00D9678A" w:rsidRDefault="00B37726" w:rsidP="00EF3EDB">
            <w:pPr>
              <w:rPr>
                <w:rFonts w:cstheme="minorHAnsi"/>
                <w:b/>
                <w:bCs/>
                <w:color w:val="D60B52"/>
              </w:rPr>
            </w:pPr>
            <w:r w:rsidRPr="00D9678A">
              <w:rPr>
                <w:rFonts w:cstheme="minorHAnsi"/>
                <w:b/>
                <w:bCs/>
                <w:color w:val="D60B52"/>
              </w:rPr>
              <w:t>A lack of clearly stated priorities for digitization will result in failed digital migration plans and risk to users</w:t>
            </w:r>
          </w:p>
        </w:tc>
      </w:tr>
      <w:tr w:rsidR="000D6B3F" w:rsidRPr="00D9678A" w14:paraId="7D9796C6" w14:textId="77777777" w:rsidTr="00D9678A">
        <w:tc>
          <w:tcPr>
            <w:tcW w:w="10343" w:type="dxa"/>
            <w:gridSpan w:val="3"/>
            <w:tcBorders>
              <w:bottom w:val="single" w:sz="4" w:space="0" w:color="auto"/>
            </w:tcBorders>
            <w:vAlign w:val="center"/>
          </w:tcPr>
          <w:p w14:paraId="119BB971" w14:textId="77777777" w:rsidR="00D76F70" w:rsidRPr="00D9678A" w:rsidRDefault="00D76F70" w:rsidP="00D76F70">
            <w:pPr>
              <w:pStyle w:val="ListParagraph"/>
              <w:rPr>
                <w:rFonts w:cstheme="minorHAnsi"/>
              </w:rPr>
            </w:pPr>
          </w:p>
          <w:p w14:paraId="474D4246" w14:textId="3B283C3D" w:rsidR="00555B56" w:rsidRPr="00D9678A" w:rsidRDefault="00A52A12" w:rsidP="00EF3EDB">
            <w:pPr>
              <w:pStyle w:val="ListParagraph"/>
              <w:numPr>
                <w:ilvl w:val="0"/>
                <w:numId w:val="9"/>
              </w:numPr>
              <w:rPr>
                <w:rFonts w:cstheme="minorHAnsi"/>
              </w:rPr>
            </w:pPr>
            <w:r w:rsidRPr="00D9678A">
              <w:rPr>
                <w:rFonts w:cstheme="minorHAnsi"/>
                <w:b/>
                <w:bCs/>
              </w:rPr>
              <w:t xml:space="preserve">Background </w:t>
            </w:r>
            <w:r w:rsidR="00555B56" w:rsidRPr="00D9678A">
              <w:rPr>
                <w:rFonts w:cstheme="minorHAnsi"/>
                <w:b/>
                <w:bCs/>
              </w:rPr>
              <w:br/>
            </w:r>
            <w:r w:rsidRPr="00D9678A">
              <w:rPr>
                <w:rFonts w:cstheme="minorHAnsi"/>
              </w:rPr>
              <w:t>Some commissioners may not recognise the importance of digital transition, given a lack of warning signs from public information or senior management cascade and may delay planning and budgeting of the required changes.</w:t>
            </w:r>
          </w:p>
          <w:p w14:paraId="6E18E109" w14:textId="77777777" w:rsidR="00555B56" w:rsidRPr="00D9678A" w:rsidRDefault="00A52A12" w:rsidP="006811FF">
            <w:pPr>
              <w:pStyle w:val="ListParagraph"/>
              <w:numPr>
                <w:ilvl w:val="0"/>
                <w:numId w:val="9"/>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Commissioners, local authorities and housing associations will fail to invest proactively in solutions to successfully navigate the digital transition, leading to failing alarm calls and risks to end users.</w:t>
            </w:r>
          </w:p>
          <w:p w14:paraId="307EBD0A" w14:textId="77777777" w:rsidR="00A52A12" w:rsidRPr="00D9678A" w:rsidRDefault="00A52A12" w:rsidP="00EF3EDB">
            <w:pPr>
              <w:pStyle w:val="ListParagraph"/>
              <w:numPr>
                <w:ilvl w:val="0"/>
                <w:numId w:val="9"/>
              </w:numPr>
              <w:rPr>
                <w:rFonts w:cstheme="minorHAnsi"/>
                <w:b/>
                <w:bCs/>
              </w:rPr>
            </w:pPr>
            <w:r w:rsidRPr="00D9678A">
              <w:rPr>
                <w:rFonts w:cstheme="minorHAnsi"/>
                <w:b/>
                <w:bCs/>
              </w:rPr>
              <w:t xml:space="preserve">Mitigating actions </w:t>
            </w:r>
            <w:r w:rsidR="00555B56" w:rsidRPr="00D9678A">
              <w:rPr>
                <w:rFonts w:cstheme="minorHAnsi"/>
                <w:b/>
                <w:bCs/>
              </w:rPr>
              <w:br/>
            </w:r>
            <w:r w:rsidRPr="00D9678A">
              <w:rPr>
                <w:rFonts w:cstheme="minorHAnsi"/>
              </w:rPr>
              <w:t>Clear and consistent messaging from all home nation governments, with links to national strategies and capital funding.</w:t>
            </w:r>
            <w:r w:rsidRPr="00D9678A">
              <w:rPr>
                <w:rFonts w:cstheme="minorHAnsi"/>
              </w:rPr>
              <w:tab/>
            </w:r>
          </w:p>
          <w:p w14:paraId="6A69F2E1" w14:textId="1E25F041" w:rsidR="00D76F70" w:rsidRPr="00D9678A" w:rsidRDefault="00D76F70" w:rsidP="00D76F70">
            <w:pPr>
              <w:pStyle w:val="ListParagraph"/>
              <w:rPr>
                <w:rFonts w:cstheme="minorHAnsi"/>
                <w:b/>
                <w:bCs/>
              </w:rPr>
            </w:pPr>
          </w:p>
        </w:tc>
      </w:tr>
      <w:tr w:rsidR="00811643" w:rsidRPr="00D9678A" w14:paraId="02FA2372" w14:textId="77777777" w:rsidTr="00D9678A">
        <w:tc>
          <w:tcPr>
            <w:tcW w:w="988" w:type="dxa"/>
            <w:tcBorders>
              <w:top w:val="single" w:sz="4" w:space="0" w:color="auto"/>
            </w:tcBorders>
            <w:vAlign w:val="center"/>
          </w:tcPr>
          <w:p w14:paraId="6ECC6BC5" w14:textId="77777777" w:rsidR="00811643" w:rsidRPr="00D9678A" w:rsidRDefault="00811643" w:rsidP="00EF3EDB">
            <w:pPr>
              <w:tabs>
                <w:tab w:val="left" w:pos="4212"/>
              </w:tabs>
              <w:rPr>
                <w:rFonts w:cstheme="minorHAnsi"/>
                <w:b/>
                <w:bCs/>
                <w:color w:val="D60B52"/>
              </w:rPr>
            </w:pPr>
          </w:p>
        </w:tc>
        <w:tc>
          <w:tcPr>
            <w:tcW w:w="9355" w:type="dxa"/>
            <w:gridSpan w:val="2"/>
            <w:tcBorders>
              <w:top w:val="single" w:sz="4" w:space="0" w:color="auto"/>
            </w:tcBorders>
            <w:vAlign w:val="center"/>
          </w:tcPr>
          <w:p w14:paraId="334F4440" w14:textId="77777777" w:rsidR="00811643" w:rsidRPr="00D9678A" w:rsidRDefault="00811643" w:rsidP="00EF3EDB">
            <w:pPr>
              <w:rPr>
                <w:rFonts w:cstheme="minorHAnsi"/>
                <w:b/>
                <w:bCs/>
                <w:color w:val="D60B52"/>
              </w:rPr>
            </w:pPr>
          </w:p>
        </w:tc>
      </w:tr>
      <w:tr w:rsidR="000D6B3F" w:rsidRPr="00D9678A" w14:paraId="4C052442" w14:textId="77777777" w:rsidTr="00D9678A">
        <w:tc>
          <w:tcPr>
            <w:tcW w:w="988" w:type="dxa"/>
            <w:vAlign w:val="center"/>
          </w:tcPr>
          <w:p w14:paraId="17B34691" w14:textId="510B237D" w:rsidR="000D6B3F" w:rsidRPr="00D9678A" w:rsidRDefault="00B37726" w:rsidP="00EF3EDB">
            <w:pPr>
              <w:tabs>
                <w:tab w:val="left" w:pos="4212"/>
              </w:tabs>
              <w:rPr>
                <w:rFonts w:cstheme="minorHAnsi"/>
                <w:b/>
                <w:bCs/>
                <w:u w:val="single"/>
              </w:rPr>
            </w:pPr>
            <w:r w:rsidRPr="00D9678A">
              <w:rPr>
                <w:rFonts w:cstheme="minorHAnsi"/>
                <w:b/>
                <w:bCs/>
                <w:color w:val="D60B52"/>
              </w:rPr>
              <w:lastRenderedPageBreak/>
              <w:t>RISK 11</w:t>
            </w:r>
          </w:p>
        </w:tc>
        <w:tc>
          <w:tcPr>
            <w:tcW w:w="9355" w:type="dxa"/>
            <w:gridSpan w:val="2"/>
            <w:vAlign w:val="center"/>
          </w:tcPr>
          <w:p w14:paraId="260C96E2" w14:textId="1A6F9205" w:rsidR="000D6B3F" w:rsidRPr="00D9678A" w:rsidRDefault="00B37726" w:rsidP="00EF3EDB">
            <w:pPr>
              <w:rPr>
                <w:rFonts w:cstheme="minorHAnsi"/>
                <w:b/>
                <w:bCs/>
                <w:color w:val="D60B52"/>
              </w:rPr>
            </w:pPr>
            <w:r w:rsidRPr="00D9678A">
              <w:rPr>
                <w:rFonts w:cstheme="minorHAnsi"/>
                <w:b/>
                <w:bCs/>
                <w:color w:val="D60B52"/>
              </w:rPr>
              <w:t>Lack of interoperability within TEC sector restricts market growth</w:t>
            </w:r>
            <w:r w:rsidRPr="00D9678A">
              <w:rPr>
                <w:rFonts w:cstheme="minorHAnsi"/>
                <w:b/>
                <w:bCs/>
                <w:color w:val="D60B52"/>
              </w:rPr>
              <w:tab/>
            </w:r>
          </w:p>
        </w:tc>
      </w:tr>
      <w:tr w:rsidR="000D6B3F" w:rsidRPr="00D9678A" w14:paraId="3D44FE77" w14:textId="77777777" w:rsidTr="00D9678A">
        <w:tc>
          <w:tcPr>
            <w:tcW w:w="10343" w:type="dxa"/>
            <w:gridSpan w:val="3"/>
            <w:tcBorders>
              <w:bottom w:val="single" w:sz="4" w:space="0" w:color="auto"/>
            </w:tcBorders>
            <w:vAlign w:val="center"/>
          </w:tcPr>
          <w:p w14:paraId="2BAEEE21" w14:textId="77777777" w:rsidR="00555B56" w:rsidRPr="00D9678A" w:rsidRDefault="00A52A12" w:rsidP="00EF3EDB">
            <w:pPr>
              <w:pStyle w:val="ListParagraph"/>
              <w:numPr>
                <w:ilvl w:val="0"/>
                <w:numId w:val="10"/>
              </w:numPr>
              <w:rPr>
                <w:rFonts w:cstheme="minorHAnsi"/>
              </w:rPr>
            </w:pPr>
            <w:r w:rsidRPr="00D9678A">
              <w:rPr>
                <w:rFonts w:cstheme="minorHAnsi"/>
                <w:b/>
                <w:bCs/>
              </w:rPr>
              <w:t xml:space="preserve">Background </w:t>
            </w:r>
            <w:r w:rsidR="00555B56" w:rsidRPr="00D9678A">
              <w:rPr>
                <w:rFonts w:cstheme="minorHAnsi"/>
                <w:b/>
                <w:bCs/>
              </w:rPr>
              <w:br/>
            </w:r>
            <w:r w:rsidRPr="00D9678A">
              <w:rPr>
                <w:rFonts w:cstheme="minorHAnsi"/>
              </w:rPr>
              <w:t>With many digital devices and service support platforms, a lack of interoperability of TEC systems may result in services being unable to select the best procurement options or comply with customer needs and preferences.</w:t>
            </w:r>
          </w:p>
          <w:p w14:paraId="508B6F99" w14:textId="77777777" w:rsidR="00555B56" w:rsidRPr="00D9678A" w:rsidRDefault="00A52A12" w:rsidP="00C104CC">
            <w:pPr>
              <w:pStyle w:val="ListParagraph"/>
              <w:numPr>
                <w:ilvl w:val="0"/>
                <w:numId w:val="10"/>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Without interoperability, services will be unable to employ technologies from multiple providers or employ new and innovative technology suppliers. This will constrain choice, restrict competition and business continuity options.  </w:t>
            </w:r>
          </w:p>
          <w:p w14:paraId="4A7DA401" w14:textId="77777777" w:rsidR="00A52A12" w:rsidRPr="00D9678A" w:rsidRDefault="00A52A12" w:rsidP="00555B56">
            <w:pPr>
              <w:pStyle w:val="ListParagraph"/>
              <w:numPr>
                <w:ilvl w:val="0"/>
                <w:numId w:val="10"/>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 xml:space="preserve">Publish interoperability standards for TEC </w:t>
            </w:r>
            <w:proofErr w:type="gramStart"/>
            <w:r w:rsidRPr="00D9678A">
              <w:rPr>
                <w:rFonts w:cstheme="minorHAnsi"/>
              </w:rPr>
              <w:t>systems, and</w:t>
            </w:r>
            <w:proofErr w:type="gramEnd"/>
            <w:r w:rsidRPr="00D9678A">
              <w:rPr>
                <w:rFonts w:cstheme="minorHAnsi"/>
              </w:rPr>
              <w:t xml:space="preserve"> ensure supplier commitment to compliance though procurement requirements.</w:t>
            </w:r>
          </w:p>
          <w:p w14:paraId="3B801F7E" w14:textId="53038E79" w:rsidR="00D9678A" w:rsidRPr="00D9678A" w:rsidRDefault="00D9678A" w:rsidP="00D9678A">
            <w:pPr>
              <w:pStyle w:val="ListParagraph"/>
              <w:rPr>
                <w:rFonts w:cstheme="minorHAnsi"/>
                <w:sz w:val="18"/>
                <w:szCs w:val="18"/>
              </w:rPr>
            </w:pPr>
          </w:p>
        </w:tc>
      </w:tr>
      <w:tr w:rsidR="00811643" w:rsidRPr="00D9678A" w14:paraId="64794BA9" w14:textId="77777777" w:rsidTr="00D9678A">
        <w:tc>
          <w:tcPr>
            <w:tcW w:w="988" w:type="dxa"/>
            <w:tcBorders>
              <w:top w:val="single" w:sz="4" w:space="0" w:color="auto"/>
            </w:tcBorders>
            <w:vAlign w:val="center"/>
          </w:tcPr>
          <w:p w14:paraId="2F701F98"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7B78CDBA" w14:textId="144DA8CC" w:rsidR="00D9678A" w:rsidRPr="00D9678A" w:rsidRDefault="00D9678A" w:rsidP="00EF3EDB">
            <w:pPr>
              <w:rPr>
                <w:rFonts w:cstheme="minorHAnsi"/>
                <w:b/>
                <w:bCs/>
                <w:color w:val="D60B52"/>
              </w:rPr>
            </w:pPr>
          </w:p>
        </w:tc>
      </w:tr>
      <w:tr w:rsidR="000D6B3F" w:rsidRPr="00D9678A" w14:paraId="63A6C4D8" w14:textId="77777777" w:rsidTr="00D9678A">
        <w:tc>
          <w:tcPr>
            <w:tcW w:w="988" w:type="dxa"/>
            <w:vAlign w:val="center"/>
          </w:tcPr>
          <w:p w14:paraId="7BE03B24" w14:textId="335D47E8" w:rsidR="000D6B3F" w:rsidRPr="00D9678A" w:rsidRDefault="00B37726" w:rsidP="00EF3EDB">
            <w:pPr>
              <w:rPr>
                <w:rFonts w:cstheme="minorHAnsi"/>
                <w:b/>
                <w:bCs/>
                <w:u w:val="single"/>
              </w:rPr>
            </w:pPr>
            <w:r w:rsidRPr="00D9678A">
              <w:rPr>
                <w:rFonts w:cstheme="minorHAnsi"/>
                <w:b/>
                <w:bCs/>
                <w:color w:val="D60B52"/>
              </w:rPr>
              <w:t>RISK 12</w:t>
            </w:r>
          </w:p>
        </w:tc>
        <w:tc>
          <w:tcPr>
            <w:tcW w:w="9355" w:type="dxa"/>
            <w:gridSpan w:val="2"/>
            <w:vAlign w:val="center"/>
          </w:tcPr>
          <w:p w14:paraId="36FB598A" w14:textId="454199C4" w:rsidR="000D6B3F" w:rsidRPr="00D9678A" w:rsidRDefault="00B37726" w:rsidP="00EF3EDB">
            <w:pPr>
              <w:rPr>
                <w:rFonts w:cstheme="minorHAnsi"/>
                <w:color w:val="D60B52"/>
              </w:rPr>
            </w:pPr>
            <w:r w:rsidRPr="00D9678A">
              <w:rPr>
                <w:rFonts w:cstheme="minorHAnsi"/>
                <w:b/>
                <w:bCs/>
                <w:color w:val="D60B52"/>
              </w:rPr>
              <w:t xml:space="preserve">Failure to deliver new, </w:t>
            </w:r>
            <w:proofErr w:type="gramStart"/>
            <w:r w:rsidRPr="00D9678A">
              <w:rPr>
                <w:rFonts w:cstheme="minorHAnsi"/>
                <w:b/>
                <w:bCs/>
                <w:color w:val="D60B52"/>
              </w:rPr>
              <w:t>preventative</w:t>
            </w:r>
            <w:proofErr w:type="gramEnd"/>
            <w:r w:rsidRPr="00D9678A">
              <w:rPr>
                <w:rFonts w:cstheme="minorHAnsi"/>
                <w:b/>
                <w:bCs/>
                <w:color w:val="D60B52"/>
              </w:rPr>
              <w:t xml:space="preserve"> and proactive services which keep the TEC sector relevant</w:t>
            </w:r>
          </w:p>
        </w:tc>
      </w:tr>
      <w:tr w:rsidR="000D6B3F" w:rsidRPr="00D9678A" w14:paraId="0C908B5E" w14:textId="77777777" w:rsidTr="00D9678A">
        <w:tc>
          <w:tcPr>
            <w:tcW w:w="10343" w:type="dxa"/>
            <w:gridSpan w:val="3"/>
            <w:tcBorders>
              <w:bottom w:val="single" w:sz="4" w:space="0" w:color="auto"/>
            </w:tcBorders>
            <w:vAlign w:val="center"/>
          </w:tcPr>
          <w:p w14:paraId="5B22A6B7" w14:textId="77777777" w:rsidR="00555B56" w:rsidRPr="00D9678A" w:rsidRDefault="00A52A12" w:rsidP="00EF3EDB">
            <w:pPr>
              <w:pStyle w:val="ListParagraph"/>
              <w:numPr>
                <w:ilvl w:val="0"/>
                <w:numId w:val="11"/>
              </w:numPr>
              <w:rPr>
                <w:rFonts w:cstheme="minorHAnsi"/>
              </w:rPr>
            </w:pPr>
            <w:r w:rsidRPr="00D9678A">
              <w:rPr>
                <w:rFonts w:cstheme="minorHAnsi"/>
                <w:b/>
                <w:bCs/>
              </w:rPr>
              <w:t xml:space="preserve">Background </w:t>
            </w:r>
            <w:r w:rsidR="00555B56" w:rsidRPr="00D9678A">
              <w:rPr>
                <w:rFonts w:cstheme="minorHAnsi"/>
                <w:b/>
                <w:bCs/>
              </w:rPr>
              <w:br/>
            </w:r>
            <w:r w:rsidRPr="00D9678A">
              <w:rPr>
                <w:rFonts w:cstheme="minorHAnsi"/>
              </w:rPr>
              <w:t xml:space="preserve">During the COVID-19 pandemic we observed a beneficial shift to proactive services in support of vulnerable people, and yet the traditional TEC market structure may not support the introduction of proactive and preventative services. </w:t>
            </w:r>
          </w:p>
          <w:p w14:paraId="7BD4FEFC" w14:textId="77777777" w:rsidR="00555B56" w:rsidRPr="00D9678A" w:rsidRDefault="00A52A12" w:rsidP="00EB335E">
            <w:pPr>
              <w:pStyle w:val="ListParagraph"/>
              <w:numPr>
                <w:ilvl w:val="0"/>
                <w:numId w:val="11"/>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A lack of proactive and preventative care options will fail to deliver against integrated care plans for personalised wellbeing, and lead to commissioners and customers choosing alternatives to TEC. If this situation persists it would restrict TEC to the provision of emergency-only services, and lead to a "race to the bottom" in terms of quality and pricing for TEC services. </w:t>
            </w:r>
          </w:p>
          <w:p w14:paraId="49521C00" w14:textId="77777777" w:rsidR="00A52A12" w:rsidRPr="00D9678A" w:rsidRDefault="00A52A12" w:rsidP="00555B56">
            <w:pPr>
              <w:pStyle w:val="ListParagraph"/>
              <w:numPr>
                <w:ilvl w:val="0"/>
                <w:numId w:val="11"/>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Work is needed to collate and demonstrate to commissioners the evidence for beneficial outcomes from proactive and preventative services. Standards and guidance for such services is also needed.</w:t>
            </w:r>
          </w:p>
          <w:p w14:paraId="1AE2DEF8" w14:textId="06536B90" w:rsidR="00D9678A" w:rsidRPr="00D9678A" w:rsidRDefault="00D9678A" w:rsidP="00D9678A">
            <w:pPr>
              <w:pStyle w:val="ListParagraph"/>
              <w:rPr>
                <w:rFonts w:cstheme="minorHAnsi"/>
                <w:sz w:val="18"/>
                <w:szCs w:val="18"/>
              </w:rPr>
            </w:pPr>
          </w:p>
        </w:tc>
      </w:tr>
      <w:tr w:rsidR="00811643" w:rsidRPr="00D9678A" w14:paraId="1D90CFAF" w14:textId="77777777" w:rsidTr="00D9678A">
        <w:tc>
          <w:tcPr>
            <w:tcW w:w="988" w:type="dxa"/>
            <w:tcBorders>
              <w:top w:val="single" w:sz="4" w:space="0" w:color="auto"/>
            </w:tcBorders>
            <w:vAlign w:val="center"/>
          </w:tcPr>
          <w:p w14:paraId="4BEDD3FC"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7DEA38C5" w14:textId="77777777" w:rsidR="00811643" w:rsidRPr="00D9678A" w:rsidRDefault="00811643" w:rsidP="00EF3EDB">
            <w:pPr>
              <w:rPr>
                <w:rFonts w:cstheme="minorHAnsi"/>
                <w:b/>
                <w:bCs/>
                <w:color w:val="D60B52"/>
              </w:rPr>
            </w:pPr>
          </w:p>
        </w:tc>
      </w:tr>
      <w:tr w:rsidR="000D6B3F" w:rsidRPr="00D9678A" w14:paraId="1DF29EC3" w14:textId="77777777" w:rsidTr="00D9678A">
        <w:tc>
          <w:tcPr>
            <w:tcW w:w="988" w:type="dxa"/>
            <w:vAlign w:val="center"/>
          </w:tcPr>
          <w:p w14:paraId="41FA95B1" w14:textId="1C9C4C6D" w:rsidR="000D6B3F" w:rsidRPr="00D9678A" w:rsidRDefault="00B37726" w:rsidP="00EF3EDB">
            <w:pPr>
              <w:rPr>
                <w:rFonts w:cstheme="minorHAnsi"/>
                <w:b/>
                <w:bCs/>
                <w:u w:val="single"/>
              </w:rPr>
            </w:pPr>
            <w:r w:rsidRPr="00D9678A">
              <w:rPr>
                <w:rFonts w:cstheme="minorHAnsi"/>
                <w:b/>
                <w:bCs/>
                <w:color w:val="D60B52"/>
              </w:rPr>
              <w:t>RISK 13</w:t>
            </w:r>
          </w:p>
        </w:tc>
        <w:tc>
          <w:tcPr>
            <w:tcW w:w="9355" w:type="dxa"/>
            <w:gridSpan w:val="2"/>
            <w:vAlign w:val="center"/>
          </w:tcPr>
          <w:p w14:paraId="455661CC" w14:textId="00B4C6C7" w:rsidR="000D6B3F" w:rsidRPr="00D9678A" w:rsidRDefault="00B37726" w:rsidP="00EF3EDB">
            <w:pPr>
              <w:rPr>
                <w:rFonts w:cstheme="minorHAnsi"/>
                <w:b/>
                <w:bCs/>
                <w:color w:val="D60B52"/>
              </w:rPr>
            </w:pPr>
            <w:r w:rsidRPr="00D9678A">
              <w:rPr>
                <w:rFonts w:cstheme="minorHAnsi"/>
                <w:b/>
                <w:bCs/>
                <w:color w:val="D60B52"/>
              </w:rPr>
              <w:t xml:space="preserve">Demand for TEC systems </w:t>
            </w:r>
            <w:proofErr w:type="gramStart"/>
            <w:r w:rsidRPr="00D9678A">
              <w:rPr>
                <w:rFonts w:cstheme="minorHAnsi"/>
                <w:b/>
                <w:bCs/>
                <w:color w:val="D60B52"/>
              </w:rPr>
              <w:t>declines</w:t>
            </w:r>
            <w:proofErr w:type="gramEnd"/>
            <w:r w:rsidRPr="00D9678A">
              <w:rPr>
                <w:rFonts w:cstheme="minorHAnsi"/>
                <w:b/>
                <w:bCs/>
                <w:color w:val="D60B52"/>
              </w:rPr>
              <w:t xml:space="preserve"> due to lack of integration of consumer technologies</w:t>
            </w:r>
          </w:p>
        </w:tc>
      </w:tr>
      <w:tr w:rsidR="000D6B3F" w:rsidRPr="00D9678A" w14:paraId="34F7A923" w14:textId="77777777" w:rsidTr="00D9678A">
        <w:tc>
          <w:tcPr>
            <w:tcW w:w="10343" w:type="dxa"/>
            <w:gridSpan w:val="3"/>
            <w:tcBorders>
              <w:bottom w:val="single" w:sz="4" w:space="0" w:color="auto"/>
            </w:tcBorders>
            <w:vAlign w:val="center"/>
          </w:tcPr>
          <w:p w14:paraId="1D220579" w14:textId="77777777" w:rsidR="00555B56" w:rsidRPr="00D9678A" w:rsidRDefault="00A52A12" w:rsidP="00A82E2A">
            <w:pPr>
              <w:pStyle w:val="ListParagraph"/>
              <w:numPr>
                <w:ilvl w:val="0"/>
                <w:numId w:val="12"/>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The consumer technologies we engage with in our personal lives should also have a positive impact on social care solutions, through integration of selected technologies and data with social care and health platforms. </w:t>
            </w:r>
          </w:p>
          <w:p w14:paraId="79251712" w14:textId="77777777" w:rsidR="00555B56" w:rsidRPr="00D9678A" w:rsidRDefault="00A52A12" w:rsidP="003D0332">
            <w:pPr>
              <w:pStyle w:val="ListParagraph"/>
              <w:numPr>
                <w:ilvl w:val="0"/>
                <w:numId w:val="12"/>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Lack of interoperability of TEC with consumer technology means that customers and commissioners will not see the industry as forward-looking or providing solutions that consumers demand. The TEC industry could see itself partially replaced by more open and self-managed solutions. </w:t>
            </w:r>
          </w:p>
          <w:p w14:paraId="6C84AF81" w14:textId="77777777" w:rsidR="00A52A12" w:rsidRPr="00D9678A" w:rsidRDefault="00A52A12" w:rsidP="00555B56">
            <w:pPr>
              <w:pStyle w:val="ListParagraph"/>
              <w:numPr>
                <w:ilvl w:val="0"/>
                <w:numId w:val="12"/>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Standards and guidance should support commissioners and suppliers in ensuring that specialist TEC services and platforms can incorporate mainstream consumer devices.</w:t>
            </w:r>
          </w:p>
          <w:p w14:paraId="203F3C43" w14:textId="6E090EAB" w:rsidR="00D9678A" w:rsidRPr="00D9678A" w:rsidRDefault="00D9678A" w:rsidP="00D9678A">
            <w:pPr>
              <w:pStyle w:val="ListParagraph"/>
              <w:rPr>
                <w:rFonts w:cstheme="minorHAnsi"/>
                <w:sz w:val="18"/>
                <w:szCs w:val="18"/>
              </w:rPr>
            </w:pPr>
          </w:p>
        </w:tc>
      </w:tr>
      <w:tr w:rsidR="00811643" w:rsidRPr="00D9678A" w14:paraId="3BC3A558" w14:textId="77777777" w:rsidTr="00D9678A">
        <w:tc>
          <w:tcPr>
            <w:tcW w:w="988" w:type="dxa"/>
            <w:tcBorders>
              <w:top w:val="single" w:sz="4" w:space="0" w:color="auto"/>
            </w:tcBorders>
            <w:vAlign w:val="center"/>
          </w:tcPr>
          <w:p w14:paraId="1EDDFC39"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4521C65D" w14:textId="77777777" w:rsidR="00811643" w:rsidRPr="00D9678A" w:rsidRDefault="00811643" w:rsidP="00EF3EDB">
            <w:pPr>
              <w:rPr>
                <w:rFonts w:cstheme="minorHAnsi"/>
                <w:b/>
                <w:bCs/>
                <w:color w:val="D60B52"/>
              </w:rPr>
            </w:pPr>
          </w:p>
        </w:tc>
      </w:tr>
      <w:tr w:rsidR="000D6B3F" w:rsidRPr="00D9678A" w14:paraId="4802B352" w14:textId="77777777" w:rsidTr="00D9678A">
        <w:tc>
          <w:tcPr>
            <w:tcW w:w="988" w:type="dxa"/>
            <w:vAlign w:val="center"/>
          </w:tcPr>
          <w:p w14:paraId="35599EA4" w14:textId="332CAD77" w:rsidR="000D6B3F" w:rsidRPr="00D9678A" w:rsidRDefault="00B37726" w:rsidP="00EF3EDB">
            <w:pPr>
              <w:rPr>
                <w:rFonts w:cstheme="minorHAnsi"/>
                <w:b/>
                <w:bCs/>
                <w:u w:val="single"/>
              </w:rPr>
            </w:pPr>
            <w:r w:rsidRPr="00D9678A">
              <w:rPr>
                <w:rFonts w:cstheme="minorHAnsi"/>
                <w:b/>
                <w:bCs/>
                <w:color w:val="D60B52"/>
              </w:rPr>
              <w:t>RISK 14</w:t>
            </w:r>
          </w:p>
        </w:tc>
        <w:tc>
          <w:tcPr>
            <w:tcW w:w="9355" w:type="dxa"/>
            <w:gridSpan w:val="2"/>
            <w:vAlign w:val="center"/>
          </w:tcPr>
          <w:p w14:paraId="44428C07" w14:textId="323A7A37" w:rsidR="000D6B3F" w:rsidRPr="00D9678A" w:rsidRDefault="00B37726" w:rsidP="00EF3EDB">
            <w:pPr>
              <w:rPr>
                <w:rFonts w:cstheme="minorHAnsi"/>
                <w:b/>
                <w:bCs/>
                <w:color w:val="D60B52"/>
              </w:rPr>
            </w:pPr>
            <w:r w:rsidRPr="00D9678A">
              <w:rPr>
                <w:rFonts w:cstheme="minorHAnsi"/>
                <w:b/>
                <w:bCs/>
                <w:color w:val="D60B52"/>
              </w:rPr>
              <w:t>Digital transition reduces choice and competition, through consolidation of TEC services</w:t>
            </w:r>
          </w:p>
        </w:tc>
      </w:tr>
      <w:tr w:rsidR="000D6B3F" w:rsidRPr="00D9678A" w14:paraId="23D6F545" w14:textId="77777777" w:rsidTr="00D9678A">
        <w:tc>
          <w:tcPr>
            <w:tcW w:w="10343" w:type="dxa"/>
            <w:gridSpan w:val="3"/>
            <w:tcBorders>
              <w:bottom w:val="single" w:sz="4" w:space="0" w:color="auto"/>
            </w:tcBorders>
            <w:vAlign w:val="center"/>
          </w:tcPr>
          <w:p w14:paraId="769F7DA1" w14:textId="77777777" w:rsidR="00555B56" w:rsidRPr="00D9678A" w:rsidRDefault="00A52A12" w:rsidP="00111326">
            <w:pPr>
              <w:pStyle w:val="ListParagraph"/>
              <w:numPr>
                <w:ilvl w:val="0"/>
                <w:numId w:val="13"/>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Not </w:t>
            </w:r>
            <w:proofErr w:type="gramStart"/>
            <w:r w:rsidRPr="00D9678A">
              <w:rPr>
                <w:rFonts w:cstheme="minorHAnsi"/>
              </w:rPr>
              <w:t>all of</w:t>
            </w:r>
            <w:proofErr w:type="gramEnd"/>
            <w:r w:rsidRPr="00D9678A">
              <w:rPr>
                <w:rFonts w:cstheme="minorHAnsi"/>
              </w:rPr>
              <w:t xml:space="preserve"> the 200+ UK TEC monitoring services will have the resources and infrastructure to deal with the digital switchover. Smaller monitoring centres will not benefit from economies of scale, and they may be limited in their ability to invest in new and digitised service models.</w:t>
            </w:r>
          </w:p>
          <w:p w14:paraId="729B0C61" w14:textId="77777777" w:rsidR="00555B56" w:rsidRPr="00D9678A" w:rsidRDefault="00A52A12" w:rsidP="007E11F2">
            <w:pPr>
              <w:pStyle w:val="ListParagraph"/>
              <w:numPr>
                <w:ilvl w:val="0"/>
                <w:numId w:val="13"/>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Failure to deliver reliable systems and services during the digital transition will lead to customers and commissioners questioning service quality and the benefits of TEC. This could lead to reduced market demand. </w:t>
            </w:r>
          </w:p>
          <w:p w14:paraId="4EFADDF4" w14:textId="77777777" w:rsidR="00D9678A" w:rsidRDefault="00A52A12" w:rsidP="00D9678A">
            <w:pPr>
              <w:pStyle w:val="ListParagraph"/>
              <w:numPr>
                <w:ilvl w:val="0"/>
                <w:numId w:val="13"/>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Provide guidance on how TEC providers can preserve localised services, whilst accessing digital TEC platforms cost-effectively, 'as a service', rather than investing in building environments, extensive IT infrastructure and resources.</w:t>
            </w:r>
          </w:p>
          <w:p w14:paraId="1C20728B" w14:textId="2B21E92B" w:rsidR="00D9678A" w:rsidRPr="00D9678A" w:rsidRDefault="00D9678A" w:rsidP="00D9678A">
            <w:pPr>
              <w:pStyle w:val="ListParagraph"/>
              <w:rPr>
                <w:rFonts w:cstheme="minorHAnsi"/>
              </w:rPr>
            </w:pPr>
          </w:p>
        </w:tc>
      </w:tr>
      <w:tr w:rsidR="00811643" w:rsidRPr="00D9678A" w14:paraId="59AEAEF5" w14:textId="77777777" w:rsidTr="00D9678A">
        <w:tc>
          <w:tcPr>
            <w:tcW w:w="988" w:type="dxa"/>
            <w:tcBorders>
              <w:top w:val="single" w:sz="4" w:space="0" w:color="auto"/>
            </w:tcBorders>
            <w:vAlign w:val="center"/>
          </w:tcPr>
          <w:p w14:paraId="1C986041" w14:textId="7611C0B7" w:rsidR="00B05F72" w:rsidRPr="00D9678A" w:rsidRDefault="00B05F72" w:rsidP="00EF3EDB">
            <w:pPr>
              <w:rPr>
                <w:rFonts w:cstheme="minorHAnsi"/>
                <w:b/>
                <w:bCs/>
                <w:color w:val="D60B52"/>
              </w:rPr>
            </w:pPr>
          </w:p>
        </w:tc>
        <w:tc>
          <w:tcPr>
            <w:tcW w:w="9355" w:type="dxa"/>
            <w:gridSpan w:val="2"/>
            <w:tcBorders>
              <w:top w:val="single" w:sz="4" w:space="0" w:color="auto"/>
            </w:tcBorders>
            <w:vAlign w:val="center"/>
          </w:tcPr>
          <w:p w14:paraId="1CB1524A" w14:textId="77777777" w:rsidR="00811643" w:rsidRPr="00D9678A" w:rsidRDefault="00811643" w:rsidP="00EF3EDB">
            <w:pPr>
              <w:rPr>
                <w:rFonts w:cstheme="minorHAnsi"/>
                <w:b/>
                <w:bCs/>
                <w:color w:val="D60B52"/>
              </w:rPr>
            </w:pPr>
          </w:p>
        </w:tc>
      </w:tr>
      <w:tr w:rsidR="000D6B3F" w:rsidRPr="00D9678A" w14:paraId="7248222F" w14:textId="77777777" w:rsidTr="00D9678A">
        <w:tc>
          <w:tcPr>
            <w:tcW w:w="988" w:type="dxa"/>
            <w:vAlign w:val="center"/>
          </w:tcPr>
          <w:p w14:paraId="6769DE5C" w14:textId="54078D17" w:rsidR="000D6B3F" w:rsidRPr="00D9678A" w:rsidRDefault="00B37726" w:rsidP="00EF3EDB">
            <w:pPr>
              <w:rPr>
                <w:rFonts w:cstheme="minorHAnsi"/>
                <w:b/>
                <w:bCs/>
                <w:u w:val="single"/>
              </w:rPr>
            </w:pPr>
            <w:r w:rsidRPr="00D9678A">
              <w:rPr>
                <w:rFonts w:cstheme="minorHAnsi"/>
                <w:b/>
                <w:bCs/>
                <w:color w:val="D60B52"/>
              </w:rPr>
              <w:t>RISK 15</w:t>
            </w:r>
          </w:p>
        </w:tc>
        <w:tc>
          <w:tcPr>
            <w:tcW w:w="9355" w:type="dxa"/>
            <w:gridSpan w:val="2"/>
            <w:vAlign w:val="center"/>
          </w:tcPr>
          <w:p w14:paraId="2B3A2FCA" w14:textId="086F531F" w:rsidR="000D6B3F" w:rsidRPr="00D9678A" w:rsidRDefault="00B37726" w:rsidP="00EF3EDB">
            <w:pPr>
              <w:rPr>
                <w:rFonts w:cstheme="minorHAnsi"/>
                <w:b/>
                <w:bCs/>
                <w:color w:val="D60B52"/>
              </w:rPr>
            </w:pPr>
            <w:r w:rsidRPr="00D9678A">
              <w:rPr>
                <w:rFonts w:cstheme="minorHAnsi"/>
                <w:b/>
                <w:bCs/>
                <w:color w:val="D60B52"/>
              </w:rPr>
              <w:t>Trust in the TEC sector is damaged by regulatory weakness during the shift to digital solutions</w:t>
            </w:r>
          </w:p>
        </w:tc>
      </w:tr>
      <w:tr w:rsidR="000D6B3F" w:rsidRPr="00D9678A" w14:paraId="041E9192" w14:textId="77777777" w:rsidTr="00D9678A">
        <w:tc>
          <w:tcPr>
            <w:tcW w:w="10343" w:type="dxa"/>
            <w:gridSpan w:val="3"/>
            <w:tcBorders>
              <w:bottom w:val="single" w:sz="4" w:space="0" w:color="auto"/>
            </w:tcBorders>
            <w:vAlign w:val="center"/>
          </w:tcPr>
          <w:p w14:paraId="2E2A82F5" w14:textId="77777777" w:rsidR="00555B56" w:rsidRPr="00D9678A" w:rsidRDefault="00A52A12" w:rsidP="008C5C70">
            <w:pPr>
              <w:pStyle w:val="ListParagraph"/>
              <w:numPr>
                <w:ilvl w:val="0"/>
                <w:numId w:val="14"/>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A lack of strong regulation of TEC services could lead to a proliferation of technologies, services and traders that do not meet recognised standards, leading to confusion amongst both commissioners and consumers. </w:t>
            </w:r>
          </w:p>
          <w:p w14:paraId="6F22FA8C" w14:textId="77777777" w:rsidR="00555B56" w:rsidRPr="00D9678A" w:rsidRDefault="00A52A12" w:rsidP="003E0485">
            <w:pPr>
              <w:pStyle w:val="ListParagraph"/>
              <w:numPr>
                <w:ilvl w:val="0"/>
                <w:numId w:val="14"/>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Differing guidance from suppliers on service capability and digital TEC systems will confuse commissioners and customers and reduce the likelihood of selecting optimal technologies and services.</w:t>
            </w:r>
          </w:p>
          <w:p w14:paraId="6D0268EB" w14:textId="77777777" w:rsidR="00A52A12" w:rsidRPr="00D9678A" w:rsidRDefault="00A52A12" w:rsidP="00555B56">
            <w:pPr>
              <w:pStyle w:val="ListParagraph"/>
              <w:numPr>
                <w:ilvl w:val="0"/>
                <w:numId w:val="14"/>
              </w:numPr>
              <w:rPr>
                <w:rFonts w:cstheme="minorHAnsi"/>
                <w:b/>
                <w:bCs/>
                <w:u w:val="single"/>
              </w:rPr>
            </w:pPr>
            <w:r w:rsidRPr="00D9678A">
              <w:rPr>
                <w:rFonts w:cstheme="minorHAnsi"/>
                <w:b/>
                <w:bCs/>
              </w:rPr>
              <w:t xml:space="preserve">Mitigating actions </w:t>
            </w:r>
            <w:r w:rsidR="00555B56" w:rsidRPr="00D9678A">
              <w:rPr>
                <w:rFonts w:cstheme="minorHAnsi"/>
                <w:b/>
                <w:bCs/>
              </w:rPr>
              <w:br/>
            </w:r>
            <w:r w:rsidRPr="00D9678A">
              <w:rPr>
                <w:rFonts w:cstheme="minorHAnsi"/>
              </w:rPr>
              <w:t>Embed standards for digital services and systems in quality standards frameworks.</w:t>
            </w:r>
          </w:p>
          <w:p w14:paraId="088C2971" w14:textId="218100A4" w:rsidR="00D9678A" w:rsidRPr="00D9678A" w:rsidRDefault="00D9678A" w:rsidP="00D9678A">
            <w:pPr>
              <w:pStyle w:val="ListParagraph"/>
              <w:rPr>
                <w:rFonts w:cstheme="minorHAnsi"/>
                <w:b/>
                <w:bCs/>
                <w:u w:val="single"/>
              </w:rPr>
            </w:pPr>
          </w:p>
        </w:tc>
      </w:tr>
      <w:tr w:rsidR="00811643" w:rsidRPr="00D9678A" w14:paraId="3145A5F7" w14:textId="77777777" w:rsidTr="00D9678A">
        <w:tc>
          <w:tcPr>
            <w:tcW w:w="988" w:type="dxa"/>
            <w:tcBorders>
              <w:top w:val="single" w:sz="4" w:space="0" w:color="auto"/>
            </w:tcBorders>
            <w:vAlign w:val="center"/>
          </w:tcPr>
          <w:p w14:paraId="25253962"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201719CE" w14:textId="7E05C93B" w:rsidR="00D9678A" w:rsidRPr="00D9678A" w:rsidRDefault="00D9678A" w:rsidP="00EF3EDB">
            <w:pPr>
              <w:rPr>
                <w:rFonts w:cstheme="minorHAnsi"/>
                <w:b/>
                <w:bCs/>
                <w:color w:val="D60B52"/>
              </w:rPr>
            </w:pPr>
          </w:p>
        </w:tc>
      </w:tr>
      <w:tr w:rsidR="000D6B3F" w:rsidRPr="00D9678A" w14:paraId="620C1E59" w14:textId="77777777" w:rsidTr="00D9678A">
        <w:tc>
          <w:tcPr>
            <w:tcW w:w="988" w:type="dxa"/>
            <w:vAlign w:val="center"/>
          </w:tcPr>
          <w:p w14:paraId="5F60D244" w14:textId="40BC838C" w:rsidR="000D6B3F" w:rsidRPr="00D9678A" w:rsidRDefault="00B37726" w:rsidP="00EF3EDB">
            <w:pPr>
              <w:rPr>
                <w:rFonts w:cstheme="minorHAnsi"/>
                <w:b/>
                <w:bCs/>
                <w:u w:val="single"/>
              </w:rPr>
            </w:pPr>
            <w:r w:rsidRPr="00D9678A">
              <w:rPr>
                <w:rFonts w:cstheme="minorHAnsi"/>
                <w:b/>
                <w:bCs/>
                <w:color w:val="D60B52"/>
              </w:rPr>
              <w:t>RISK 16</w:t>
            </w:r>
          </w:p>
        </w:tc>
        <w:tc>
          <w:tcPr>
            <w:tcW w:w="9355" w:type="dxa"/>
            <w:gridSpan w:val="2"/>
            <w:vAlign w:val="center"/>
          </w:tcPr>
          <w:p w14:paraId="510904DB" w14:textId="31D481A6" w:rsidR="000D6B3F" w:rsidRPr="00D9678A" w:rsidRDefault="00B37726" w:rsidP="00EF3EDB">
            <w:pPr>
              <w:rPr>
                <w:rFonts w:cstheme="minorHAnsi"/>
                <w:b/>
                <w:bCs/>
                <w:color w:val="D60B52"/>
              </w:rPr>
            </w:pPr>
            <w:r w:rsidRPr="00D9678A">
              <w:rPr>
                <w:rFonts w:cstheme="minorHAnsi"/>
                <w:b/>
                <w:bCs/>
                <w:color w:val="D60B52"/>
              </w:rPr>
              <w:t>Housing design fails to meet the needs of older and vulnerable people</w:t>
            </w:r>
          </w:p>
        </w:tc>
      </w:tr>
      <w:tr w:rsidR="000D6B3F" w:rsidRPr="00D9678A" w14:paraId="15700E39" w14:textId="77777777" w:rsidTr="00D9678A">
        <w:tc>
          <w:tcPr>
            <w:tcW w:w="10343" w:type="dxa"/>
            <w:gridSpan w:val="3"/>
            <w:tcBorders>
              <w:bottom w:val="single" w:sz="4" w:space="0" w:color="auto"/>
            </w:tcBorders>
            <w:vAlign w:val="center"/>
          </w:tcPr>
          <w:p w14:paraId="0751B8E4" w14:textId="77777777" w:rsidR="00555B56" w:rsidRPr="00D9678A" w:rsidRDefault="00A52A12" w:rsidP="00944A61">
            <w:pPr>
              <w:pStyle w:val="ListParagraph"/>
              <w:numPr>
                <w:ilvl w:val="0"/>
                <w:numId w:val="15"/>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There is limited progress on the provision of 'care-ready' living environments (‘HAPPI’ design principles) to meet the needs of older and vulnerable clients. The integration of TEC with housing environments is also limited, as many older, vulnerable adults still live in their own homes. </w:t>
            </w:r>
          </w:p>
          <w:p w14:paraId="7520F2A3" w14:textId="77777777" w:rsidR="00555B56" w:rsidRPr="00D9678A" w:rsidRDefault="00A52A12" w:rsidP="00F56FD4">
            <w:pPr>
              <w:pStyle w:val="ListParagraph"/>
              <w:numPr>
                <w:ilvl w:val="0"/>
                <w:numId w:val="15"/>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If requirements for flexible and TEC-enabled housing are not mainstreamed, through regulation and housing design, then the ability of older residents to remain in their own home will be limited by a lack of 'technology enablement by design', and older adults will need to move homes as their needs change</w:t>
            </w:r>
            <w:r w:rsidR="00555B56" w:rsidRPr="00D9678A">
              <w:rPr>
                <w:rFonts w:cstheme="minorHAnsi"/>
              </w:rPr>
              <w:t xml:space="preserve">. </w:t>
            </w:r>
          </w:p>
          <w:p w14:paraId="0A1910CD" w14:textId="77777777" w:rsidR="00A52A12" w:rsidRPr="00D9678A" w:rsidRDefault="00A52A12" w:rsidP="00555B56">
            <w:pPr>
              <w:pStyle w:val="ListParagraph"/>
              <w:numPr>
                <w:ilvl w:val="0"/>
                <w:numId w:val="15"/>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Commissioning strategies for housing need to include explicit recognition of home-based care options in mainstream, specialist and supported housing, employing TEC to deliver remote support.</w:t>
            </w:r>
          </w:p>
          <w:p w14:paraId="23C34663" w14:textId="5BC0AF7C" w:rsidR="00D9678A" w:rsidRPr="00D9678A" w:rsidRDefault="00D9678A" w:rsidP="00D9678A">
            <w:pPr>
              <w:pStyle w:val="ListParagraph"/>
              <w:rPr>
                <w:rFonts w:cstheme="minorHAnsi"/>
              </w:rPr>
            </w:pPr>
          </w:p>
        </w:tc>
      </w:tr>
      <w:tr w:rsidR="00811643" w:rsidRPr="00D9678A" w14:paraId="12E5E5C1" w14:textId="77777777" w:rsidTr="00D9678A">
        <w:tc>
          <w:tcPr>
            <w:tcW w:w="988" w:type="dxa"/>
            <w:tcBorders>
              <w:top w:val="single" w:sz="4" w:space="0" w:color="auto"/>
            </w:tcBorders>
            <w:vAlign w:val="center"/>
          </w:tcPr>
          <w:p w14:paraId="22D25C84"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7B33F25D" w14:textId="77777777" w:rsidR="00811643" w:rsidRPr="00D9678A" w:rsidRDefault="00811643" w:rsidP="00EF3EDB">
            <w:pPr>
              <w:rPr>
                <w:rFonts w:cstheme="minorHAnsi"/>
                <w:b/>
                <w:bCs/>
                <w:color w:val="D60B52"/>
              </w:rPr>
            </w:pPr>
          </w:p>
        </w:tc>
      </w:tr>
      <w:tr w:rsidR="000D6B3F" w:rsidRPr="00D9678A" w14:paraId="55BB03C2" w14:textId="77777777" w:rsidTr="00D9678A">
        <w:tc>
          <w:tcPr>
            <w:tcW w:w="988" w:type="dxa"/>
            <w:vAlign w:val="center"/>
          </w:tcPr>
          <w:p w14:paraId="6C4938D1" w14:textId="1B0F63AF" w:rsidR="000D6B3F" w:rsidRPr="00D9678A" w:rsidRDefault="00B37726" w:rsidP="00EF3EDB">
            <w:pPr>
              <w:rPr>
                <w:rFonts w:cstheme="minorHAnsi"/>
                <w:b/>
                <w:bCs/>
                <w:u w:val="single"/>
              </w:rPr>
            </w:pPr>
            <w:r w:rsidRPr="00D9678A">
              <w:rPr>
                <w:rFonts w:cstheme="minorHAnsi"/>
                <w:b/>
                <w:bCs/>
                <w:color w:val="D60B52"/>
              </w:rPr>
              <w:t>RISK 17</w:t>
            </w:r>
          </w:p>
        </w:tc>
        <w:tc>
          <w:tcPr>
            <w:tcW w:w="9355" w:type="dxa"/>
            <w:gridSpan w:val="2"/>
            <w:vAlign w:val="center"/>
          </w:tcPr>
          <w:p w14:paraId="6F1D6510" w14:textId="407E9409" w:rsidR="000D6B3F" w:rsidRPr="00D9678A" w:rsidRDefault="00B37726" w:rsidP="00EF3EDB">
            <w:pPr>
              <w:rPr>
                <w:rFonts w:cstheme="minorHAnsi"/>
                <w:b/>
                <w:bCs/>
                <w:color w:val="D60B52"/>
              </w:rPr>
            </w:pPr>
            <w:r w:rsidRPr="00D9678A">
              <w:rPr>
                <w:rFonts w:cstheme="minorHAnsi"/>
                <w:b/>
                <w:bCs/>
                <w:color w:val="D60B52"/>
              </w:rPr>
              <w:t>Poor housing infrastructure prevents digital upgrades, putting tenants at risk</w:t>
            </w:r>
          </w:p>
        </w:tc>
      </w:tr>
      <w:tr w:rsidR="000D6B3F" w:rsidRPr="00D9678A" w14:paraId="1A59005C" w14:textId="77777777" w:rsidTr="00D9678A">
        <w:tc>
          <w:tcPr>
            <w:tcW w:w="10343" w:type="dxa"/>
            <w:gridSpan w:val="3"/>
            <w:tcBorders>
              <w:bottom w:val="single" w:sz="4" w:space="0" w:color="auto"/>
            </w:tcBorders>
            <w:vAlign w:val="center"/>
          </w:tcPr>
          <w:p w14:paraId="4F578BC5" w14:textId="77777777" w:rsidR="00555B56" w:rsidRPr="00D9678A" w:rsidRDefault="00A52A12" w:rsidP="00EF3EDB">
            <w:pPr>
              <w:pStyle w:val="ListParagraph"/>
              <w:numPr>
                <w:ilvl w:val="0"/>
                <w:numId w:val="16"/>
              </w:numPr>
              <w:rPr>
                <w:rFonts w:cstheme="minorHAnsi"/>
              </w:rPr>
            </w:pPr>
            <w:r w:rsidRPr="00D9678A">
              <w:rPr>
                <w:rFonts w:cstheme="minorHAnsi"/>
                <w:b/>
                <w:bCs/>
              </w:rPr>
              <w:t xml:space="preserve">Background </w:t>
            </w:r>
            <w:r w:rsidR="00555B56" w:rsidRPr="00D9678A">
              <w:rPr>
                <w:rFonts w:cstheme="minorHAnsi"/>
                <w:b/>
                <w:bCs/>
              </w:rPr>
              <w:br/>
            </w:r>
            <w:r w:rsidRPr="00D9678A">
              <w:rPr>
                <w:rFonts w:cstheme="minorHAnsi"/>
              </w:rPr>
              <w:t>The Centre for Ageing Better 'Good Homes' enquiry highlights the number of UK homes in disrepair, and that many older residents can't afford to adapt or improve, leading to lower adoption of TEC solutions.</w:t>
            </w:r>
          </w:p>
          <w:p w14:paraId="71FFD8EB" w14:textId="77777777" w:rsidR="00555B56" w:rsidRPr="00D9678A" w:rsidRDefault="00A52A12" w:rsidP="005B4AD7">
            <w:pPr>
              <w:pStyle w:val="ListParagraph"/>
              <w:numPr>
                <w:ilvl w:val="0"/>
                <w:numId w:val="16"/>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The recognised poor state of UK housing stock, along with high priorities to improve environmental standards and energy efficiency, may result in a lack of investment in TEC in housing, which will limit the ability of people to live in their own homes for longer.</w:t>
            </w:r>
          </w:p>
          <w:p w14:paraId="49F4EF59" w14:textId="77777777" w:rsidR="00A52A12" w:rsidRPr="00D9678A" w:rsidRDefault="00A52A12" w:rsidP="00555B56">
            <w:pPr>
              <w:pStyle w:val="ListParagraph"/>
              <w:numPr>
                <w:ilvl w:val="0"/>
                <w:numId w:val="16"/>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 xml:space="preserve">Follow-up on recommendations from the APPG inquiry into smart homes (how to retrofit existing housing stock to create smart homes), including how Disabled Facilities Grants (DFGs) can incorporate TEC solutions. </w:t>
            </w:r>
          </w:p>
          <w:p w14:paraId="06DE5469" w14:textId="7EA63966" w:rsidR="00D9678A" w:rsidRPr="00D9678A" w:rsidRDefault="00D9678A" w:rsidP="00D9678A">
            <w:pPr>
              <w:pStyle w:val="ListParagraph"/>
              <w:rPr>
                <w:rFonts w:cstheme="minorHAnsi"/>
              </w:rPr>
            </w:pPr>
          </w:p>
        </w:tc>
      </w:tr>
      <w:tr w:rsidR="00811643" w:rsidRPr="00D9678A" w14:paraId="75E99889" w14:textId="77777777" w:rsidTr="00D9678A">
        <w:tc>
          <w:tcPr>
            <w:tcW w:w="988" w:type="dxa"/>
            <w:tcBorders>
              <w:top w:val="single" w:sz="4" w:space="0" w:color="auto"/>
            </w:tcBorders>
            <w:vAlign w:val="center"/>
          </w:tcPr>
          <w:p w14:paraId="544C5560"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0F74262F" w14:textId="77777777" w:rsidR="00811643" w:rsidRPr="00D9678A" w:rsidRDefault="00811643" w:rsidP="00EF3EDB">
            <w:pPr>
              <w:rPr>
                <w:rFonts w:cstheme="minorHAnsi"/>
                <w:b/>
                <w:bCs/>
                <w:color w:val="D60B52"/>
              </w:rPr>
            </w:pPr>
          </w:p>
        </w:tc>
      </w:tr>
      <w:tr w:rsidR="000D6B3F" w:rsidRPr="00D9678A" w14:paraId="6F0AFE0C" w14:textId="77777777" w:rsidTr="00D9678A">
        <w:tc>
          <w:tcPr>
            <w:tcW w:w="988" w:type="dxa"/>
            <w:vAlign w:val="center"/>
          </w:tcPr>
          <w:p w14:paraId="71851809" w14:textId="3141A867" w:rsidR="000D6B3F" w:rsidRPr="00D9678A" w:rsidRDefault="00B37726" w:rsidP="00EF3EDB">
            <w:pPr>
              <w:rPr>
                <w:rFonts w:cstheme="minorHAnsi"/>
                <w:b/>
                <w:bCs/>
                <w:u w:val="single"/>
              </w:rPr>
            </w:pPr>
            <w:r w:rsidRPr="00D9678A">
              <w:rPr>
                <w:rFonts w:cstheme="minorHAnsi"/>
                <w:b/>
                <w:bCs/>
                <w:color w:val="D60B52"/>
              </w:rPr>
              <w:t>RISK 18</w:t>
            </w:r>
          </w:p>
        </w:tc>
        <w:tc>
          <w:tcPr>
            <w:tcW w:w="9355" w:type="dxa"/>
            <w:gridSpan w:val="2"/>
            <w:vAlign w:val="center"/>
          </w:tcPr>
          <w:p w14:paraId="32187345" w14:textId="5301ED7B" w:rsidR="000D6B3F" w:rsidRPr="00D9678A" w:rsidRDefault="00B37726" w:rsidP="00EF3EDB">
            <w:pPr>
              <w:rPr>
                <w:rFonts w:cstheme="minorHAnsi"/>
                <w:b/>
                <w:bCs/>
                <w:color w:val="D60B52"/>
              </w:rPr>
            </w:pPr>
            <w:r w:rsidRPr="00D9678A">
              <w:rPr>
                <w:rFonts w:cstheme="minorHAnsi"/>
                <w:b/>
                <w:bCs/>
                <w:color w:val="D60B52"/>
              </w:rPr>
              <w:t>Cost of living crisis reduces adoption of TEC services</w:t>
            </w:r>
          </w:p>
        </w:tc>
      </w:tr>
      <w:tr w:rsidR="000D6B3F" w:rsidRPr="00D9678A" w14:paraId="4AEB8920" w14:textId="77777777" w:rsidTr="00D9678A">
        <w:tc>
          <w:tcPr>
            <w:tcW w:w="10343" w:type="dxa"/>
            <w:gridSpan w:val="3"/>
            <w:tcBorders>
              <w:bottom w:val="single" w:sz="4" w:space="0" w:color="auto"/>
            </w:tcBorders>
            <w:vAlign w:val="center"/>
          </w:tcPr>
          <w:p w14:paraId="211EA978" w14:textId="77777777" w:rsidR="00555B56" w:rsidRPr="00D9678A" w:rsidRDefault="00A52A12" w:rsidP="00F61EA6">
            <w:pPr>
              <w:pStyle w:val="ListParagraph"/>
              <w:numPr>
                <w:ilvl w:val="0"/>
                <w:numId w:val="17"/>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 xml:space="preserve">The </w:t>
            </w:r>
            <w:proofErr w:type="gramStart"/>
            <w:r w:rsidRPr="00D9678A">
              <w:rPr>
                <w:rFonts w:cstheme="minorHAnsi"/>
              </w:rPr>
              <w:t>cost of living</w:t>
            </w:r>
            <w:proofErr w:type="gramEnd"/>
            <w:r w:rsidRPr="00D9678A">
              <w:rPr>
                <w:rFonts w:cstheme="minorHAnsi"/>
              </w:rPr>
              <w:t xml:space="preserve"> crisis will impact on users ability to pay, and could lead to difficult decision making, where TEC services are neglected in favour of heating and food. Local Authorities are reviewing care budgets due to cost of living issues and inflation.</w:t>
            </w:r>
          </w:p>
          <w:p w14:paraId="4EEAF9F5" w14:textId="77777777" w:rsidR="00555B56" w:rsidRPr="00D9678A" w:rsidRDefault="00A52A12" w:rsidP="00693568">
            <w:pPr>
              <w:pStyle w:val="ListParagraph"/>
              <w:numPr>
                <w:ilvl w:val="0"/>
                <w:numId w:val="17"/>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The TEC sector may experience a decline in </w:t>
            </w:r>
            <w:proofErr w:type="gramStart"/>
            <w:r w:rsidRPr="00D9678A">
              <w:rPr>
                <w:rFonts w:cstheme="minorHAnsi"/>
              </w:rPr>
              <w:t>connections, or</w:t>
            </w:r>
            <w:proofErr w:type="gramEnd"/>
            <w:r w:rsidRPr="00D9678A">
              <w:rPr>
                <w:rFonts w:cstheme="minorHAnsi"/>
              </w:rPr>
              <w:t xml:space="preserve"> demands for lowest price service options that lack personalised or local benefits.</w:t>
            </w:r>
          </w:p>
          <w:p w14:paraId="0B689875" w14:textId="77777777" w:rsidR="00A52A12" w:rsidRPr="00D9678A" w:rsidRDefault="00A52A12" w:rsidP="00555B56">
            <w:pPr>
              <w:pStyle w:val="ListParagraph"/>
              <w:numPr>
                <w:ilvl w:val="0"/>
                <w:numId w:val="17"/>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We need to re-frame the argument to demonstrate how TEC can support, as an invest to save option for both Health &amp; Social Care.</w:t>
            </w:r>
            <w:r w:rsidRPr="00D9678A">
              <w:rPr>
                <w:rFonts w:cstheme="minorHAnsi"/>
              </w:rPr>
              <w:tab/>
            </w:r>
          </w:p>
          <w:p w14:paraId="636F9672" w14:textId="548EF562" w:rsidR="00D9678A" w:rsidRPr="00D9678A" w:rsidRDefault="00D9678A" w:rsidP="00D9678A">
            <w:pPr>
              <w:pStyle w:val="ListParagraph"/>
              <w:rPr>
                <w:rFonts w:cstheme="minorHAnsi"/>
              </w:rPr>
            </w:pPr>
          </w:p>
        </w:tc>
      </w:tr>
      <w:tr w:rsidR="00811643" w:rsidRPr="00D9678A" w14:paraId="252310FA" w14:textId="77777777" w:rsidTr="00D9678A">
        <w:tc>
          <w:tcPr>
            <w:tcW w:w="988" w:type="dxa"/>
            <w:tcBorders>
              <w:top w:val="single" w:sz="4" w:space="0" w:color="auto"/>
            </w:tcBorders>
            <w:vAlign w:val="center"/>
          </w:tcPr>
          <w:p w14:paraId="1D7A028A"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45ED62D3" w14:textId="56BE77D5" w:rsidR="00811643" w:rsidRDefault="00811643" w:rsidP="00EF3EDB">
            <w:pPr>
              <w:rPr>
                <w:rFonts w:cstheme="minorHAnsi"/>
                <w:b/>
                <w:bCs/>
                <w:color w:val="D60B52"/>
              </w:rPr>
            </w:pPr>
          </w:p>
          <w:p w14:paraId="64080C94" w14:textId="77777777" w:rsidR="00EC61E2" w:rsidRDefault="00EC61E2" w:rsidP="00EF3EDB">
            <w:pPr>
              <w:rPr>
                <w:rFonts w:cstheme="minorHAnsi"/>
                <w:b/>
                <w:bCs/>
                <w:color w:val="D60B52"/>
              </w:rPr>
            </w:pPr>
          </w:p>
          <w:p w14:paraId="6CC037A1" w14:textId="5DF61E18" w:rsidR="00D9678A" w:rsidRPr="00D9678A" w:rsidRDefault="00D9678A" w:rsidP="00EF3EDB">
            <w:pPr>
              <w:rPr>
                <w:rFonts w:cstheme="minorHAnsi"/>
                <w:b/>
                <w:bCs/>
                <w:color w:val="D60B52"/>
              </w:rPr>
            </w:pPr>
          </w:p>
        </w:tc>
      </w:tr>
      <w:tr w:rsidR="000D6B3F" w:rsidRPr="00D9678A" w14:paraId="31E8F833" w14:textId="77777777" w:rsidTr="00D9678A">
        <w:tc>
          <w:tcPr>
            <w:tcW w:w="988" w:type="dxa"/>
            <w:vAlign w:val="center"/>
          </w:tcPr>
          <w:p w14:paraId="4316555B" w14:textId="3EE63C5A" w:rsidR="000D6B3F" w:rsidRPr="00D9678A" w:rsidRDefault="00B37726" w:rsidP="00EF3EDB">
            <w:pPr>
              <w:rPr>
                <w:rFonts w:cstheme="minorHAnsi"/>
                <w:b/>
                <w:bCs/>
                <w:u w:val="single"/>
              </w:rPr>
            </w:pPr>
            <w:r w:rsidRPr="00D9678A">
              <w:rPr>
                <w:rFonts w:cstheme="minorHAnsi"/>
                <w:b/>
                <w:bCs/>
                <w:color w:val="D60B52"/>
              </w:rPr>
              <w:lastRenderedPageBreak/>
              <w:t>RISK 19</w:t>
            </w:r>
          </w:p>
        </w:tc>
        <w:tc>
          <w:tcPr>
            <w:tcW w:w="9355" w:type="dxa"/>
            <w:gridSpan w:val="2"/>
            <w:vAlign w:val="center"/>
          </w:tcPr>
          <w:p w14:paraId="198C2EB8" w14:textId="0C005F81" w:rsidR="000D6B3F" w:rsidRPr="00D9678A" w:rsidRDefault="00B37726" w:rsidP="00EF3EDB">
            <w:pPr>
              <w:rPr>
                <w:rFonts w:cstheme="minorHAnsi"/>
                <w:b/>
                <w:bCs/>
                <w:color w:val="D60B52"/>
              </w:rPr>
            </w:pPr>
            <w:r w:rsidRPr="00D9678A">
              <w:rPr>
                <w:rFonts w:cstheme="minorHAnsi"/>
                <w:b/>
                <w:bCs/>
                <w:color w:val="D60B52"/>
              </w:rPr>
              <w:t>Risk of service failure as providers grow rapidly or amalgamate</w:t>
            </w:r>
          </w:p>
        </w:tc>
      </w:tr>
      <w:tr w:rsidR="000D6B3F" w:rsidRPr="00D9678A" w14:paraId="7F27313B" w14:textId="77777777" w:rsidTr="00D9678A">
        <w:tc>
          <w:tcPr>
            <w:tcW w:w="10343" w:type="dxa"/>
            <w:gridSpan w:val="3"/>
            <w:tcBorders>
              <w:bottom w:val="single" w:sz="4" w:space="0" w:color="auto"/>
            </w:tcBorders>
            <w:vAlign w:val="center"/>
          </w:tcPr>
          <w:p w14:paraId="63F8535C" w14:textId="77777777" w:rsidR="00555B56" w:rsidRPr="00D9678A" w:rsidRDefault="00A52A12" w:rsidP="00793279">
            <w:pPr>
              <w:pStyle w:val="ListParagraph"/>
              <w:numPr>
                <w:ilvl w:val="0"/>
                <w:numId w:val="18"/>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Pressures on the TEC service sector, from Brexit, cost of living rises and costs of digital shift, are resulting in rationalisation and amalgamation of services. This can challenge the service quality levels delivered to end users.</w:t>
            </w:r>
          </w:p>
          <w:p w14:paraId="115139CE" w14:textId="77777777" w:rsidR="00555B56" w:rsidRPr="00D9678A" w:rsidRDefault="00A52A12" w:rsidP="00EF3EDB">
            <w:pPr>
              <w:pStyle w:val="ListParagraph"/>
              <w:numPr>
                <w:ilvl w:val="0"/>
                <w:numId w:val="18"/>
              </w:numPr>
              <w:rPr>
                <w:rFonts w:cstheme="minorHAnsi"/>
              </w:rPr>
            </w:pPr>
            <w:r w:rsidRPr="00D9678A">
              <w:rPr>
                <w:rFonts w:cstheme="minorHAnsi"/>
                <w:b/>
                <w:bCs/>
              </w:rPr>
              <w:t xml:space="preserve">Impact </w:t>
            </w:r>
            <w:r w:rsidR="00555B56" w:rsidRPr="00D9678A">
              <w:rPr>
                <w:rFonts w:cstheme="minorHAnsi"/>
                <w:b/>
                <w:bCs/>
              </w:rPr>
              <w:br/>
            </w:r>
            <w:r w:rsidRPr="00D9678A">
              <w:rPr>
                <w:rFonts w:cstheme="minorHAnsi"/>
              </w:rPr>
              <w:t>Any significant service failures would impact the reputation of the TEC sector and pose significant risks to service users, at a time when TEC needs to be seen as a critical component of integrated care strategies</w:t>
            </w:r>
            <w:r w:rsidR="00555B56" w:rsidRPr="00D9678A">
              <w:rPr>
                <w:rFonts w:cstheme="minorHAnsi"/>
              </w:rPr>
              <w:t>.</w:t>
            </w:r>
          </w:p>
          <w:p w14:paraId="05DD0628" w14:textId="77777777" w:rsidR="00A52A12" w:rsidRPr="00D9678A" w:rsidRDefault="00A52A12" w:rsidP="00555B56">
            <w:pPr>
              <w:pStyle w:val="ListParagraph"/>
              <w:numPr>
                <w:ilvl w:val="0"/>
                <w:numId w:val="18"/>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Quality standards for service providers need to be enforced across the sector, backed by Government advice on procurement standards.</w:t>
            </w:r>
          </w:p>
          <w:p w14:paraId="48F8782D" w14:textId="46AD6A8A" w:rsidR="00D9678A" w:rsidRPr="00D9678A" w:rsidRDefault="00D9678A" w:rsidP="00D9678A">
            <w:pPr>
              <w:pStyle w:val="ListParagraph"/>
              <w:rPr>
                <w:rFonts w:cstheme="minorHAnsi"/>
              </w:rPr>
            </w:pPr>
          </w:p>
        </w:tc>
      </w:tr>
      <w:tr w:rsidR="00811643" w:rsidRPr="00D9678A" w14:paraId="5964141E" w14:textId="77777777" w:rsidTr="00D9678A">
        <w:tc>
          <w:tcPr>
            <w:tcW w:w="988" w:type="dxa"/>
            <w:tcBorders>
              <w:top w:val="single" w:sz="4" w:space="0" w:color="auto"/>
            </w:tcBorders>
            <w:vAlign w:val="center"/>
          </w:tcPr>
          <w:p w14:paraId="44C14110"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44E9D383" w14:textId="7F0B3EBA" w:rsidR="00D9678A" w:rsidRPr="00D9678A" w:rsidRDefault="00D9678A" w:rsidP="00EF3EDB">
            <w:pPr>
              <w:rPr>
                <w:rFonts w:cstheme="minorHAnsi"/>
                <w:b/>
                <w:bCs/>
                <w:color w:val="D60B52"/>
              </w:rPr>
            </w:pPr>
          </w:p>
        </w:tc>
      </w:tr>
      <w:tr w:rsidR="000D6B3F" w:rsidRPr="00D9678A" w14:paraId="62B6F4CE" w14:textId="77777777" w:rsidTr="00D9678A">
        <w:tc>
          <w:tcPr>
            <w:tcW w:w="988" w:type="dxa"/>
            <w:vAlign w:val="center"/>
          </w:tcPr>
          <w:p w14:paraId="5B98EBA8" w14:textId="7962F950" w:rsidR="000D6B3F" w:rsidRPr="00D9678A" w:rsidRDefault="00B37726" w:rsidP="00EF3EDB">
            <w:pPr>
              <w:rPr>
                <w:rFonts w:cstheme="minorHAnsi"/>
                <w:b/>
                <w:bCs/>
                <w:u w:val="single"/>
              </w:rPr>
            </w:pPr>
            <w:r w:rsidRPr="00D9678A">
              <w:rPr>
                <w:rFonts w:cstheme="minorHAnsi"/>
                <w:b/>
                <w:bCs/>
                <w:color w:val="D60B52"/>
              </w:rPr>
              <w:t>RISK 20</w:t>
            </w:r>
          </w:p>
        </w:tc>
        <w:tc>
          <w:tcPr>
            <w:tcW w:w="9355" w:type="dxa"/>
            <w:gridSpan w:val="2"/>
            <w:vAlign w:val="center"/>
          </w:tcPr>
          <w:p w14:paraId="383EF7D8" w14:textId="055C86D9" w:rsidR="000D6B3F" w:rsidRPr="00D9678A" w:rsidRDefault="00B37726" w:rsidP="00EF3EDB">
            <w:pPr>
              <w:rPr>
                <w:rFonts w:cstheme="minorHAnsi"/>
                <w:b/>
                <w:bCs/>
                <w:color w:val="D60B52"/>
              </w:rPr>
            </w:pPr>
            <w:r w:rsidRPr="00D9678A">
              <w:rPr>
                <w:rFonts w:cstheme="minorHAnsi"/>
                <w:b/>
                <w:bCs/>
                <w:color w:val="D60B52"/>
              </w:rPr>
              <w:t>Digital unreliability impacts on delivery of TEC services to end users</w:t>
            </w:r>
          </w:p>
        </w:tc>
      </w:tr>
      <w:tr w:rsidR="000D6B3F" w:rsidRPr="00D9678A" w14:paraId="05D69D09" w14:textId="77777777" w:rsidTr="00D9678A">
        <w:tc>
          <w:tcPr>
            <w:tcW w:w="10343" w:type="dxa"/>
            <w:gridSpan w:val="3"/>
            <w:tcBorders>
              <w:bottom w:val="single" w:sz="4" w:space="0" w:color="auto"/>
            </w:tcBorders>
            <w:vAlign w:val="center"/>
          </w:tcPr>
          <w:p w14:paraId="24240937" w14:textId="77777777" w:rsidR="00555B56" w:rsidRPr="00D9678A" w:rsidRDefault="00A52A12" w:rsidP="001204B5">
            <w:pPr>
              <w:pStyle w:val="ListParagraph"/>
              <w:numPr>
                <w:ilvl w:val="0"/>
                <w:numId w:val="19"/>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There is a heightened risk of service failure during the digital changeover processes, due to significant changes to installation processes, infrastructure, enabling technologies and skills requirements.</w:t>
            </w:r>
          </w:p>
          <w:p w14:paraId="5B0E5FC6" w14:textId="77777777" w:rsidR="00555B56" w:rsidRPr="00D9678A" w:rsidRDefault="00A52A12" w:rsidP="005F2C73">
            <w:pPr>
              <w:pStyle w:val="ListParagraph"/>
              <w:numPr>
                <w:ilvl w:val="0"/>
                <w:numId w:val="19"/>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A failure to deliver new, digital systems that meet the necessary levels of availability and reliability will put end users at </w:t>
            </w:r>
            <w:proofErr w:type="gramStart"/>
            <w:r w:rsidRPr="00D9678A">
              <w:rPr>
                <w:rFonts w:cstheme="minorHAnsi"/>
              </w:rPr>
              <w:t>risk, and</w:t>
            </w:r>
            <w:proofErr w:type="gramEnd"/>
            <w:r w:rsidRPr="00D9678A">
              <w:rPr>
                <w:rFonts w:cstheme="minorHAnsi"/>
              </w:rPr>
              <w:t xml:space="preserve"> would damage the reputation of the TEC sector.</w:t>
            </w:r>
          </w:p>
          <w:p w14:paraId="1E0200AA" w14:textId="77777777" w:rsidR="00D9678A" w:rsidRPr="00D9678A" w:rsidRDefault="00A52A12" w:rsidP="00D9678A">
            <w:pPr>
              <w:pStyle w:val="ListParagraph"/>
              <w:numPr>
                <w:ilvl w:val="0"/>
                <w:numId w:val="19"/>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Quality standards for technology providers need to be enforced across the sector, backed by Government advice on procurement standards.</w:t>
            </w:r>
            <w:r w:rsidRPr="00D9678A">
              <w:rPr>
                <w:rFonts w:cstheme="minorHAnsi"/>
              </w:rPr>
              <w:tab/>
            </w:r>
          </w:p>
          <w:p w14:paraId="1D98B14D" w14:textId="734AF766" w:rsidR="00D9678A" w:rsidRPr="00D9678A" w:rsidRDefault="00D9678A" w:rsidP="00D9678A">
            <w:pPr>
              <w:pStyle w:val="ListParagraph"/>
              <w:rPr>
                <w:rFonts w:cstheme="minorHAnsi"/>
              </w:rPr>
            </w:pPr>
          </w:p>
        </w:tc>
      </w:tr>
      <w:tr w:rsidR="00811643" w:rsidRPr="00D9678A" w14:paraId="555D9C7E" w14:textId="77777777" w:rsidTr="00D9678A">
        <w:tc>
          <w:tcPr>
            <w:tcW w:w="988" w:type="dxa"/>
            <w:tcBorders>
              <w:top w:val="single" w:sz="4" w:space="0" w:color="auto"/>
            </w:tcBorders>
            <w:vAlign w:val="center"/>
          </w:tcPr>
          <w:p w14:paraId="62C2012B"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47B3BCC5" w14:textId="77777777" w:rsidR="00811643" w:rsidRPr="00D9678A" w:rsidRDefault="00811643" w:rsidP="00EF3EDB">
            <w:pPr>
              <w:rPr>
                <w:rFonts w:cstheme="minorHAnsi"/>
                <w:b/>
                <w:bCs/>
                <w:color w:val="D60B52"/>
              </w:rPr>
            </w:pPr>
          </w:p>
        </w:tc>
      </w:tr>
      <w:tr w:rsidR="000D6B3F" w:rsidRPr="00D9678A" w14:paraId="57C35595" w14:textId="77777777" w:rsidTr="00D9678A">
        <w:tc>
          <w:tcPr>
            <w:tcW w:w="988" w:type="dxa"/>
            <w:vAlign w:val="center"/>
          </w:tcPr>
          <w:p w14:paraId="6FE4A5C0" w14:textId="0C4C765D" w:rsidR="000D6B3F" w:rsidRPr="00D9678A" w:rsidRDefault="00B37726" w:rsidP="00EF3EDB">
            <w:pPr>
              <w:rPr>
                <w:rFonts w:cstheme="minorHAnsi"/>
                <w:b/>
                <w:bCs/>
                <w:u w:val="single"/>
              </w:rPr>
            </w:pPr>
            <w:r w:rsidRPr="00D9678A">
              <w:rPr>
                <w:rFonts w:cstheme="minorHAnsi"/>
                <w:b/>
                <w:bCs/>
                <w:color w:val="D60B52"/>
              </w:rPr>
              <w:t>RISK 21</w:t>
            </w:r>
          </w:p>
        </w:tc>
        <w:tc>
          <w:tcPr>
            <w:tcW w:w="9355" w:type="dxa"/>
            <w:gridSpan w:val="2"/>
            <w:vAlign w:val="center"/>
          </w:tcPr>
          <w:p w14:paraId="039DCCB8" w14:textId="49ADE209" w:rsidR="000D6B3F" w:rsidRPr="00D9678A" w:rsidRDefault="00B37726" w:rsidP="00EF3EDB">
            <w:pPr>
              <w:rPr>
                <w:rFonts w:cstheme="minorHAnsi"/>
                <w:b/>
                <w:bCs/>
                <w:color w:val="D60B52"/>
              </w:rPr>
            </w:pPr>
            <w:r w:rsidRPr="00D9678A">
              <w:rPr>
                <w:rFonts w:cstheme="minorHAnsi"/>
                <w:b/>
                <w:bCs/>
                <w:color w:val="D60B52"/>
              </w:rPr>
              <w:t>Political changes result in loss of commitment to integrated care services and new care models</w:t>
            </w:r>
          </w:p>
        </w:tc>
      </w:tr>
      <w:tr w:rsidR="000D6B3F" w:rsidRPr="00D9678A" w14:paraId="2E81BD0D" w14:textId="77777777" w:rsidTr="00D9678A">
        <w:tc>
          <w:tcPr>
            <w:tcW w:w="10343" w:type="dxa"/>
            <w:gridSpan w:val="3"/>
            <w:tcBorders>
              <w:bottom w:val="single" w:sz="4" w:space="0" w:color="auto"/>
            </w:tcBorders>
            <w:vAlign w:val="center"/>
          </w:tcPr>
          <w:p w14:paraId="759F67F6" w14:textId="7440D434" w:rsidR="00555B56" w:rsidRPr="00D9678A" w:rsidRDefault="00A52A12" w:rsidP="006F0AE5">
            <w:pPr>
              <w:pStyle w:val="ListParagraph"/>
              <w:numPr>
                <w:ilvl w:val="0"/>
                <w:numId w:val="20"/>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Challenges arising from conflict, energy crisis, EU borders and labour availability are impacting on political priorities and budget setting, and they may slow plans for new models of care.</w:t>
            </w:r>
          </w:p>
          <w:p w14:paraId="7C976C4B" w14:textId="77777777" w:rsidR="00555B56" w:rsidRPr="00D9678A" w:rsidRDefault="00A52A12" w:rsidP="00D31545">
            <w:pPr>
              <w:pStyle w:val="ListParagraph"/>
              <w:numPr>
                <w:ilvl w:val="0"/>
                <w:numId w:val="20"/>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The governmental desire to pursue integrated, </w:t>
            </w:r>
            <w:proofErr w:type="gramStart"/>
            <w:r w:rsidRPr="00D9678A">
              <w:rPr>
                <w:rFonts w:cstheme="minorHAnsi"/>
              </w:rPr>
              <w:t>personalized</w:t>
            </w:r>
            <w:proofErr w:type="gramEnd"/>
            <w:r w:rsidRPr="00D9678A">
              <w:rPr>
                <w:rFonts w:cstheme="minorHAnsi"/>
              </w:rPr>
              <w:t xml:space="preserve"> and proactive health and care may be reduced by emergent political pressures.</w:t>
            </w:r>
          </w:p>
          <w:p w14:paraId="10DFE37B" w14:textId="77777777" w:rsidR="00A52A12" w:rsidRPr="00D9678A" w:rsidRDefault="00A52A12" w:rsidP="00555B56">
            <w:pPr>
              <w:pStyle w:val="ListParagraph"/>
              <w:numPr>
                <w:ilvl w:val="0"/>
                <w:numId w:val="20"/>
              </w:numPr>
              <w:rPr>
                <w:rFonts w:cstheme="minorHAnsi"/>
                <w:b/>
                <w:bCs/>
                <w:u w:val="single"/>
              </w:rPr>
            </w:pPr>
            <w:r w:rsidRPr="00D9678A">
              <w:rPr>
                <w:rFonts w:cstheme="minorHAnsi"/>
                <w:b/>
                <w:bCs/>
              </w:rPr>
              <w:t xml:space="preserve">Mitigating actions </w:t>
            </w:r>
            <w:r w:rsidR="00555B56" w:rsidRPr="00D9678A">
              <w:rPr>
                <w:rFonts w:cstheme="minorHAnsi"/>
                <w:b/>
                <w:bCs/>
              </w:rPr>
              <w:br/>
            </w:r>
            <w:r w:rsidRPr="00D9678A">
              <w:rPr>
                <w:rFonts w:cstheme="minorHAnsi"/>
              </w:rPr>
              <w:t>TEC Sector needs to lobby home nation governments, to raise awareness of how TEC can support, as an invest to save option for Health &amp; Social Care, and therefore align with crisis-driven re-prioritisation.</w:t>
            </w:r>
          </w:p>
          <w:p w14:paraId="15530F61" w14:textId="55A0B22A" w:rsidR="00D9678A" w:rsidRPr="00D9678A" w:rsidRDefault="00D9678A" w:rsidP="00D9678A">
            <w:pPr>
              <w:pStyle w:val="ListParagraph"/>
              <w:rPr>
                <w:rFonts w:cstheme="minorHAnsi"/>
                <w:b/>
                <w:bCs/>
                <w:u w:val="single"/>
              </w:rPr>
            </w:pPr>
          </w:p>
        </w:tc>
      </w:tr>
      <w:tr w:rsidR="00811643" w:rsidRPr="00D9678A" w14:paraId="53987A33" w14:textId="77777777" w:rsidTr="00D9678A">
        <w:tc>
          <w:tcPr>
            <w:tcW w:w="988" w:type="dxa"/>
            <w:tcBorders>
              <w:top w:val="single" w:sz="4" w:space="0" w:color="auto"/>
            </w:tcBorders>
            <w:vAlign w:val="center"/>
          </w:tcPr>
          <w:p w14:paraId="45507C49"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3BBCC32D" w14:textId="77777777" w:rsidR="00811643" w:rsidRPr="00D9678A" w:rsidRDefault="00811643" w:rsidP="00EF3EDB">
            <w:pPr>
              <w:rPr>
                <w:rFonts w:cstheme="minorHAnsi"/>
                <w:b/>
                <w:bCs/>
                <w:color w:val="D60B52"/>
              </w:rPr>
            </w:pPr>
          </w:p>
        </w:tc>
      </w:tr>
      <w:tr w:rsidR="000D6B3F" w:rsidRPr="00D9678A" w14:paraId="59FA16B1" w14:textId="77777777" w:rsidTr="00D9678A">
        <w:tc>
          <w:tcPr>
            <w:tcW w:w="988" w:type="dxa"/>
            <w:vAlign w:val="center"/>
          </w:tcPr>
          <w:p w14:paraId="00006DDC" w14:textId="00A473B1" w:rsidR="000D6B3F" w:rsidRPr="00D9678A" w:rsidRDefault="00B37726" w:rsidP="00EF3EDB">
            <w:pPr>
              <w:rPr>
                <w:rFonts w:cstheme="minorHAnsi"/>
                <w:b/>
                <w:bCs/>
                <w:u w:val="single"/>
              </w:rPr>
            </w:pPr>
            <w:r w:rsidRPr="00D9678A">
              <w:rPr>
                <w:rFonts w:cstheme="minorHAnsi"/>
                <w:b/>
                <w:bCs/>
                <w:color w:val="D60B52"/>
              </w:rPr>
              <w:t>RISK 22</w:t>
            </w:r>
          </w:p>
        </w:tc>
        <w:tc>
          <w:tcPr>
            <w:tcW w:w="9355" w:type="dxa"/>
            <w:gridSpan w:val="2"/>
            <w:vAlign w:val="center"/>
          </w:tcPr>
          <w:p w14:paraId="6B05D645" w14:textId="2EC55DBE" w:rsidR="000D6B3F" w:rsidRPr="00D9678A" w:rsidRDefault="00B37726" w:rsidP="00EF3EDB">
            <w:pPr>
              <w:rPr>
                <w:rFonts w:cstheme="minorHAnsi"/>
                <w:b/>
                <w:bCs/>
                <w:color w:val="D60B52"/>
              </w:rPr>
            </w:pPr>
            <w:r w:rsidRPr="00D9678A">
              <w:rPr>
                <w:rFonts w:cstheme="minorHAnsi"/>
                <w:b/>
                <w:bCs/>
                <w:color w:val="D60B52"/>
              </w:rPr>
              <w:t>Access to TEC services and technology options is restricted by procurement guidance</w:t>
            </w:r>
          </w:p>
        </w:tc>
      </w:tr>
      <w:tr w:rsidR="000D6B3F" w:rsidRPr="00D9678A" w14:paraId="71E03F18" w14:textId="77777777" w:rsidTr="00D9678A">
        <w:tc>
          <w:tcPr>
            <w:tcW w:w="10343" w:type="dxa"/>
            <w:gridSpan w:val="3"/>
            <w:tcBorders>
              <w:bottom w:val="single" w:sz="4" w:space="0" w:color="auto"/>
            </w:tcBorders>
            <w:vAlign w:val="center"/>
          </w:tcPr>
          <w:p w14:paraId="28FBA465" w14:textId="77777777" w:rsidR="00555B56" w:rsidRPr="00D9678A" w:rsidRDefault="00A52A12" w:rsidP="007368CD">
            <w:pPr>
              <w:pStyle w:val="ListParagraph"/>
              <w:numPr>
                <w:ilvl w:val="0"/>
                <w:numId w:val="21"/>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The full array of TEC services and technology options is not covered by funding and procurement frameworks for care and housing.</w:t>
            </w:r>
          </w:p>
          <w:p w14:paraId="418F1656" w14:textId="77777777" w:rsidR="00555B56" w:rsidRPr="00D9678A" w:rsidRDefault="00A52A12" w:rsidP="0082171B">
            <w:pPr>
              <w:pStyle w:val="ListParagraph"/>
              <w:numPr>
                <w:ilvl w:val="0"/>
                <w:numId w:val="21"/>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A continuation of buying behaviours that are not informed by TEC options. This results in allocation of funding to traditional care options that may be less optimal for the end user, and which do not support independent living.</w:t>
            </w:r>
          </w:p>
          <w:p w14:paraId="7CEB1EC2" w14:textId="77777777" w:rsidR="00A52A12" w:rsidRPr="00D9678A" w:rsidRDefault="00A52A12" w:rsidP="00555B56">
            <w:pPr>
              <w:pStyle w:val="ListParagraph"/>
              <w:numPr>
                <w:ilvl w:val="0"/>
                <w:numId w:val="21"/>
              </w:numPr>
              <w:rPr>
                <w:rFonts w:cstheme="minorHAnsi"/>
              </w:rPr>
            </w:pPr>
            <w:r w:rsidRPr="00D9678A">
              <w:rPr>
                <w:rFonts w:cstheme="minorHAnsi"/>
                <w:b/>
                <w:bCs/>
              </w:rPr>
              <w:t>Mitigating actions</w:t>
            </w:r>
            <w:r w:rsidR="00555B56" w:rsidRPr="00D9678A">
              <w:rPr>
                <w:rFonts w:cstheme="minorHAnsi"/>
                <w:b/>
                <w:bCs/>
              </w:rPr>
              <w:br/>
            </w:r>
            <w:r w:rsidRPr="00D9678A">
              <w:rPr>
                <w:rFonts w:cstheme="minorHAnsi"/>
              </w:rPr>
              <w:t>The sector needs to raise awareness of wellbeing and economic impact of TEC, from prevention through to digital living solutions to better inform policy makers, local authority commissioners, service users and professional groups.</w:t>
            </w:r>
          </w:p>
          <w:p w14:paraId="423E7A22" w14:textId="7826A093" w:rsidR="00D9678A" w:rsidRPr="00D9678A" w:rsidRDefault="00D9678A" w:rsidP="00D9678A">
            <w:pPr>
              <w:pStyle w:val="ListParagraph"/>
              <w:rPr>
                <w:rFonts w:cstheme="minorHAnsi"/>
              </w:rPr>
            </w:pPr>
          </w:p>
        </w:tc>
      </w:tr>
      <w:tr w:rsidR="00811643" w:rsidRPr="00D9678A" w14:paraId="087A8FB1" w14:textId="77777777" w:rsidTr="00D9678A">
        <w:trPr>
          <w:trHeight w:val="1077"/>
        </w:trPr>
        <w:tc>
          <w:tcPr>
            <w:tcW w:w="988" w:type="dxa"/>
            <w:tcBorders>
              <w:top w:val="single" w:sz="4" w:space="0" w:color="auto"/>
            </w:tcBorders>
            <w:vAlign w:val="center"/>
          </w:tcPr>
          <w:p w14:paraId="5866F558" w14:textId="77777777" w:rsidR="00811643" w:rsidRPr="00D9678A" w:rsidRDefault="00811643" w:rsidP="00EF3EDB">
            <w:pPr>
              <w:rPr>
                <w:rFonts w:cstheme="minorHAnsi"/>
                <w:b/>
                <w:bCs/>
                <w:color w:val="D60B52"/>
              </w:rPr>
            </w:pPr>
          </w:p>
        </w:tc>
        <w:tc>
          <w:tcPr>
            <w:tcW w:w="9355" w:type="dxa"/>
            <w:gridSpan w:val="2"/>
            <w:tcBorders>
              <w:top w:val="single" w:sz="4" w:space="0" w:color="auto"/>
            </w:tcBorders>
            <w:vAlign w:val="center"/>
          </w:tcPr>
          <w:p w14:paraId="58F0532C" w14:textId="77777777" w:rsidR="00811643" w:rsidRDefault="00811643" w:rsidP="00EF3EDB">
            <w:pPr>
              <w:rPr>
                <w:rFonts w:cstheme="minorHAnsi"/>
                <w:b/>
                <w:bCs/>
                <w:color w:val="D60B52"/>
              </w:rPr>
            </w:pPr>
          </w:p>
          <w:p w14:paraId="032E6600" w14:textId="77777777" w:rsidR="00D9678A" w:rsidRDefault="00D9678A" w:rsidP="00EF3EDB">
            <w:pPr>
              <w:rPr>
                <w:rFonts w:cstheme="minorHAnsi"/>
                <w:b/>
                <w:bCs/>
                <w:color w:val="D60B52"/>
              </w:rPr>
            </w:pPr>
          </w:p>
          <w:p w14:paraId="2C5AB360" w14:textId="77777777" w:rsidR="00D9678A" w:rsidRDefault="00D9678A" w:rsidP="00EF3EDB">
            <w:pPr>
              <w:rPr>
                <w:rFonts w:cstheme="minorHAnsi"/>
                <w:b/>
                <w:bCs/>
                <w:color w:val="D60B52"/>
              </w:rPr>
            </w:pPr>
          </w:p>
          <w:p w14:paraId="12F32A95" w14:textId="77777777" w:rsidR="00D9678A" w:rsidRDefault="00D9678A" w:rsidP="00EF3EDB">
            <w:pPr>
              <w:rPr>
                <w:rFonts w:cstheme="minorHAnsi"/>
                <w:b/>
                <w:bCs/>
                <w:color w:val="D60B52"/>
              </w:rPr>
            </w:pPr>
          </w:p>
          <w:p w14:paraId="00DF1022" w14:textId="15B557C5" w:rsidR="00D9678A" w:rsidRPr="00D9678A" w:rsidRDefault="00D9678A" w:rsidP="00EF3EDB">
            <w:pPr>
              <w:rPr>
                <w:rFonts w:cstheme="minorHAnsi"/>
                <w:b/>
                <w:bCs/>
                <w:color w:val="D60B52"/>
              </w:rPr>
            </w:pPr>
          </w:p>
        </w:tc>
      </w:tr>
      <w:tr w:rsidR="000D6B3F" w:rsidRPr="00D9678A" w14:paraId="7FA7FDB4" w14:textId="77777777" w:rsidTr="00D9678A">
        <w:tc>
          <w:tcPr>
            <w:tcW w:w="988" w:type="dxa"/>
            <w:vAlign w:val="center"/>
          </w:tcPr>
          <w:p w14:paraId="5DE37414" w14:textId="77777777" w:rsidR="005A1E68" w:rsidRDefault="005A1E68" w:rsidP="00EF3EDB">
            <w:pPr>
              <w:rPr>
                <w:rFonts w:cstheme="minorHAnsi"/>
                <w:b/>
                <w:bCs/>
                <w:color w:val="D60B52"/>
              </w:rPr>
            </w:pPr>
          </w:p>
          <w:p w14:paraId="30B5F200" w14:textId="398C7EA6" w:rsidR="000D6B3F" w:rsidRPr="00D9678A" w:rsidRDefault="00B37726" w:rsidP="00EF3EDB">
            <w:pPr>
              <w:rPr>
                <w:rFonts w:cstheme="minorHAnsi"/>
                <w:b/>
                <w:bCs/>
                <w:u w:val="single"/>
              </w:rPr>
            </w:pPr>
            <w:r w:rsidRPr="00D9678A">
              <w:rPr>
                <w:rFonts w:cstheme="minorHAnsi"/>
                <w:b/>
                <w:bCs/>
                <w:color w:val="D60B52"/>
              </w:rPr>
              <w:lastRenderedPageBreak/>
              <w:t>RISK 23</w:t>
            </w:r>
          </w:p>
        </w:tc>
        <w:tc>
          <w:tcPr>
            <w:tcW w:w="9355" w:type="dxa"/>
            <w:gridSpan w:val="2"/>
            <w:vAlign w:val="center"/>
          </w:tcPr>
          <w:p w14:paraId="33D97C90" w14:textId="77777777" w:rsidR="005A1E68" w:rsidRDefault="005A1E68" w:rsidP="00EF3EDB">
            <w:pPr>
              <w:rPr>
                <w:rFonts w:cstheme="minorHAnsi"/>
                <w:b/>
                <w:bCs/>
                <w:color w:val="D60B52"/>
              </w:rPr>
            </w:pPr>
          </w:p>
          <w:p w14:paraId="405107E0" w14:textId="63E8013D" w:rsidR="000D6B3F" w:rsidRPr="00D9678A" w:rsidRDefault="00B37726" w:rsidP="00EF3EDB">
            <w:pPr>
              <w:rPr>
                <w:rFonts w:cstheme="minorHAnsi"/>
                <w:b/>
                <w:bCs/>
                <w:color w:val="D60B52"/>
              </w:rPr>
            </w:pPr>
            <w:r w:rsidRPr="00D9678A">
              <w:rPr>
                <w:rFonts w:cstheme="minorHAnsi"/>
                <w:b/>
                <w:bCs/>
                <w:color w:val="D60B52"/>
              </w:rPr>
              <w:lastRenderedPageBreak/>
              <w:t>BREXIT</w:t>
            </w:r>
            <w:r w:rsidR="005A1E68">
              <w:rPr>
                <w:rFonts w:cstheme="minorHAnsi"/>
                <w:b/>
                <w:bCs/>
                <w:color w:val="D60B52"/>
              </w:rPr>
              <w:t>, sickness levels</w:t>
            </w:r>
            <w:r w:rsidRPr="00D9678A">
              <w:rPr>
                <w:rFonts w:cstheme="minorHAnsi"/>
                <w:b/>
                <w:bCs/>
                <w:color w:val="D60B52"/>
              </w:rPr>
              <w:t xml:space="preserve"> and </w:t>
            </w:r>
            <w:r w:rsidR="005A1E68">
              <w:rPr>
                <w:rFonts w:cstheme="minorHAnsi"/>
                <w:b/>
                <w:bCs/>
                <w:color w:val="D60B52"/>
              </w:rPr>
              <w:t xml:space="preserve">changed working behaviour </w:t>
            </w:r>
            <w:r w:rsidRPr="00D9678A">
              <w:rPr>
                <w:rFonts w:cstheme="minorHAnsi"/>
                <w:b/>
                <w:bCs/>
                <w:color w:val="D60B52"/>
              </w:rPr>
              <w:t>have significant and negative impact on TEC sector resourcing and service levels</w:t>
            </w:r>
          </w:p>
        </w:tc>
      </w:tr>
      <w:tr w:rsidR="000D6B3F" w:rsidRPr="00D9678A" w14:paraId="5C1D23EE" w14:textId="77777777" w:rsidTr="00D9678A">
        <w:tc>
          <w:tcPr>
            <w:tcW w:w="10343" w:type="dxa"/>
            <w:gridSpan w:val="3"/>
            <w:tcBorders>
              <w:bottom w:val="single" w:sz="4" w:space="0" w:color="auto"/>
            </w:tcBorders>
            <w:vAlign w:val="center"/>
          </w:tcPr>
          <w:p w14:paraId="1BB045DC" w14:textId="554D32CB" w:rsidR="00555B56" w:rsidRPr="00D9678A" w:rsidRDefault="00A52A12" w:rsidP="00BA0352">
            <w:pPr>
              <w:pStyle w:val="ListParagraph"/>
              <w:numPr>
                <w:ilvl w:val="0"/>
                <w:numId w:val="22"/>
              </w:numPr>
              <w:rPr>
                <w:rFonts w:cstheme="minorHAnsi"/>
                <w:b/>
                <w:bCs/>
              </w:rPr>
            </w:pPr>
            <w:r w:rsidRPr="00D9678A">
              <w:rPr>
                <w:rFonts w:cstheme="minorHAnsi"/>
                <w:b/>
                <w:bCs/>
              </w:rPr>
              <w:lastRenderedPageBreak/>
              <w:t xml:space="preserve">Background </w:t>
            </w:r>
            <w:r w:rsidR="00555B56" w:rsidRPr="00D9678A">
              <w:rPr>
                <w:rFonts w:cstheme="minorHAnsi"/>
                <w:b/>
                <w:bCs/>
              </w:rPr>
              <w:br/>
            </w:r>
            <w:r w:rsidR="00053E52" w:rsidRPr="00053E52">
              <w:rPr>
                <w:rFonts w:cstheme="minorHAnsi"/>
              </w:rPr>
              <w:t xml:space="preserve">BREXIT, sickness levels and changed working behaviour </w:t>
            </w:r>
            <w:r w:rsidRPr="00D9678A">
              <w:rPr>
                <w:rFonts w:cstheme="minorHAnsi"/>
              </w:rPr>
              <w:t>have impacted staff availability and salaries in the TEC sector, along with expectations for different ways of working. This is creating recruitment &amp; retention concerns.</w:t>
            </w:r>
          </w:p>
          <w:p w14:paraId="3BFF4466" w14:textId="77777777" w:rsidR="00555B56" w:rsidRPr="00D9678A" w:rsidRDefault="00A52A12" w:rsidP="005160F9">
            <w:pPr>
              <w:pStyle w:val="ListParagraph"/>
              <w:numPr>
                <w:ilvl w:val="0"/>
                <w:numId w:val="22"/>
              </w:numPr>
              <w:rPr>
                <w:rFonts w:cstheme="minorHAnsi"/>
                <w:b/>
                <w:bCs/>
              </w:rPr>
            </w:pPr>
            <w:r w:rsidRPr="00D9678A">
              <w:rPr>
                <w:rFonts w:cstheme="minorHAnsi"/>
                <w:b/>
                <w:bCs/>
              </w:rPr>
              <w:t xml:space="preserve">Impact </w:t>
            </w:r>
            <w:r w:rsidR="00555B56" w:rsidRPr="00D9678A">
              <w:rPr>
                <w:rFonts w:cstheme="minorHAnsi"/>
                <w:b/>
                <w:bCs/>
              </w:rPr>
              <w:br/>
            </w:r>
            <w:r w:rsidRPr="00D9678A">
              <w:rPr>
                <w:rFonts w:cstheme="minorHAnsi"/>
              </w:rPr>
              <w:t xml:space="preserve">Frontline staff shortages affect service levels and put users at risk, whilst a lack of management resource hinders programmes such as Analogue to Digital transition and service developments. </w:t>
            </w:r>
          </w:p>
          <w:p w14:paraId="45E7256C" w14:textId="77777777" w:rsidR="00A52A12" w:rsidRPr="00D9678A" w:rsidRDefault="00A52A12" w:rsidP="00555B56">
            <w:pPr>
              <w:pStyle w:val="ListParagraph"/>
              <w:numPr>
                <w:ilvl w:val="0"/>
                <w:numId w:val="22"/>
              </w:numPr>
              <w:rPr>
                <w:rFonts w:cstheme="minorHAnsi"/>
              </w:rPr>
            </w:pPr>
            <w:r w:rsidRPr="00D9678A">
              <w:rPr>
                <w:rFonts w:cstheme="minorHAnsi"/>
                <w:b/>
                <w:bCs/>
              </w:rPr>
              <w:t xml:space="preserve">Mitigating actions </w:t>
            </w:r>
            <w:r w:rsidR="00555B56" w:rsidRPr="00D9678A">
              <w:rPr>
                <w:rFonts w:cstheme="minorHAnsi"/>
                <w:b/>
                <w:bCs/>
              </w:rPr>
              <w:br/>
            </w:r>
            <w:r w:rsidRPr="00D9678A">
              <w:rPr>
                <w:rFonts w:cstheme="minorHAnsi"/>
              </w:rPr>
              <w:t>Raise the profile of jobs within the industry, recognising skills at multiple levels, with accreditation of TEC training courses.</w:t>
            </w:r>
          </w:p>
          <w:p w14:paraId="42E16644" w14:textId="63080650" w:rsidR="00D9678A" w:rsidRPr="00D9678A" w:rsidRDefault="00D9678A" w:rsidP="00D9678A">
            <w:pPr>
              <w:pStyle w:val="ListParagraph"/>
              <w:rPr>
                <w:rFonts w:cstheme="minorHAnsi"/>
              </w:rPr>
            </w:pPr>
          </w:p>
        </w:tc>
      </w:tr>
      <w:tr w:rsidR="00811643" w:rsidRPr="00D9678A" w14:paraId="2014DD80" w14:textId="77777777" w:rsidTr="00D9678A">
        <w:tc>
          <w:tcPr>
            <w:tcW w:w="988" w:type="dxa"/>
            <w:tcBorders>
              <w:top w:val="single" w:sz="4" w:space="0" w:color="auto"/>
            </w:tcBorders>
            <w:vAlign w:val="center"/>
          </w:tcPr>
          <w:p w14:paraId="157A6215" w14:textId="722D0323" w:rsidR="00B05F72" w:rsidRPr="00D9678A" w:rsidRDefault="00B05F72" w:rsidP="00EF3EDB">
            <w:pPr>
              <w:rPr>
                <w:rFonts w:cstheme="minorHAnsi"/>
                <w:b/>
                <w:bCs/>
                <w:color w:val="D60B52"/>
              </w:rPr>
            </w:pPr>
          </w:p>
        </w:tc>
        <w:tc>
          <w:tcPr>
            <w:tcW w:w="9355" w:type="dxa"/>
            <w:gridSpan w:val="2"/>
            <w:tcBorders>
              <w:top w:val="single" w:sz="4" w:space="0" w:color="auto"/>
            </w:tcBorders>
            <w:vAlign w:val="center"/>
          </w:tcPr>
          <w:p w14:paraId="13117727" w14:textId="77777777" w:rsidR="00811643" w:rsidRPr="00D9678A" w:rsidRDefault="00811643" w:rsidP="00EF3EDB">
            <w:pPr>
              <w:rPr>
                <w:rFonts w:cstheme="minorHAnsi"/>
                <w:b/>
                <w:bCs/>
                <w:color w:val="D60B52"/>
              </w:rPr>
            </w:pPr>
          </w:p>
        </w:tc>
      </w:tr>
      <w:tr w:rsidR="000D6B3F" w:rsidRPr="00D9678A" w14:paraId="5F640BC6" w14:textId="77777777" w:rsidTr="00D9678A">
        <w:tc>
          <w:tcPr>
            <w:tcW w:w="988" w:type="dxa"/>
            <w:vAlign w:val="center"/>
          </w:tcPr>
          <w:p w14:paraId="4E5F0696" w14:textId="5A02ADEB" w:rsidR="000D6B3F" w:rsidRPr="00D9678A" w:rsidRDefault="00B37726" w:rsidP="00EF3EDB">
            <w:pPr>
              <w:rPr>
                <w:rFonts w:cstheme="minorHAnsi"/>
                <w:b/>
                <w:bCs/>
                <w:u w:val="single"/>
              </w:rPr>
            </w:pPr>
            <w:r w:rsidRPr="00D9678A">
              <w:rPr>
                <w:rFonts w:cstheme="minorHAnsi"/>
                <w:b/>
                <w:bCs/>
                <w:color w:val="D60B52"/>
              </w:rPr>
              <w:t>RISK 24</w:t>
            </w:r>
          </w:p>
        </w:tc>
        <w:tc>
          <w:tcPr>
            <w:tcW w:w="9355" w:type="dxa"/>
            <w:gridSpan w:val="2"/>
            <w:vAlign w:val="center"/>
          </w:tcPr>
          <w:p w14:paraId="18BB2AC2" w14:textId="6D9F9795" w:rsidR="000D6B3F" w:rsidRPr="00D9678A" w:rsidRDefault="00B37726" w:rsidP="00EF3EDB">
            <w:pPr>
              <w:rPr>
                <w:rFonts w:cstheme="minorHAnsi"/>
                <w:b/>
                <w:bCs/>
                <w:color w:val="D60B52"/>
              </w:rPr>
            </w:pPr>
            <w:r w:rsidRPr="00D9678A">
              <w:rPr>
                <w:rFonts w:cstheme="minorHAnsi"/>
                <w:b/>
                <w:bCs/>
                <w:color w:val="D60B52"/>
              </w:rPr>
              <w:t>Extended ambulance waiting times significantly impact TEC response and service delivery</w:t>
            </w:r>
          </w:p>
        </w:tc>
      </w:tr>
      <w:tr w:rsidR="000D6B3F" w:rsidRPr="00D9678A" w14:paraId="244F5065" w14:textId="77777777" w:rsidTr="00D9678A">
        <w:tc>
          <w:tcPr>
            <w:tcW w:w="10343" w:type="dxa"/>
            <w:gridSpan w:val="3"/>
            <w:tcBorders>
              <w:bottom w:val="single" w:sz="4" w:space="0" w:color="auto"/>
            </w:tcBorders>
            <w:vAlign w:val="center"/>
          </w:tcPr>
          <w:p w14:paraId="301B963B" w14:textId="77777777" w:rsidR="00811643" w:rsidRPr="00D9678A" w:rsidRDefault="00A52A12" w:rsidP="00E108FA">
            <w:pPr>
              <w:pStyle w:val="ListParagraph"/>
              <w:numPr>
                <w:ilvl w:val="0"/>
                <w:numId w:val="23"/>
              </w:numPr>
              <w:rPr>
                <w:rFonts w:cstheme="minorHAnsi"/>
                <w:b/>
                <w:bCs/>
              </w:rPr>
            </w:pPr>
            <w:r w:rsidRPr="00D9678A">
              <w:rPr>
                <w:rFonts w:cstheme="minorHAnsi"/>
                <w:b/>
                <w:bCs/>
              </w:rPr>
              <w:t xml:space="preserve">Background </w:t>
            </w:r>
            <w:r w:rsidR="00555B56" w:rsidRPr="00D9678A">
              <w:rPr>
                <w:rFonts w:cstheme="minorHAnsi"/>
                <w:b/>
                <w:bCs/>
              </w:rPr>
              <w:br/>
            </w:r>
            <w:r w:rsidRPr="00D9678A">
              <w:rPr>
                <w:rFonts w:cstheme="minorHAnsi"/>
              </w:rPr>
              <w:t>We are experiencing major delays to ambulance response times, often driven by hospital admission blockages. This has serious knock-on effects on TEC alarm call escalation.</w:t>
            </w:r>
          </w:p>
          <w:p w14:paraId="0EC24015" w14:textId="77777777" w:rsidR="00811643" w:rsidRPr="00D9678A" w:rsidRDefault="00A52A12" w:rsidP="00D71116">
            <w:pPr>
              <w:pStyle w:val="ListParagraph"/>
              <w:numPr>
                <w:ilvl w:val="0"/>
                <w:numId w:val="23"/>
              </w:numPr>
              <w:rPr>
                <w:rFonts w:cstheme="minorHAnsi"/>
                <w:b/>
                <w:bCs/>
              </w:rPr>
            </w:pPr>
            <w:r w:rsidRPr="00D9678A">
              <w:rPr>
                <w:rFonts w:cstheme="minorHAnsi"/>
                <w:b/>
                <w:bCs/>
              </w:rPr>
              <w:t xml:space="preserve">Impact </w:t>
            </w:r>
            <w:r w:rsidR="00811643" w:rsidRPr="00D9678A">
              <w:rPr>
                <w:rFonts w:cstheme="minorHAnsi"/>
                <w:b/>
                <w:bCs/>
              </w:rPr>
              <w:br/>
            </w:r>
            <w:r w:rsidRPr="00D9678A">
              <w:rPr>
                <w:rFonts w:cstheme="minorHAnsi"/>
              </w:rPr>
              <w:t>Emergency response delays will impact on the ability to respond to TEC referrals, and they may result in disruption to TEC services due to extended or repeat alarm calls, and responder revisits.</w:t>
            </w:r>
          </w:p>
          <w:p w14:paraId="4840D6B8" w14:textId="77777777" w:rsidR="00A52A12" w:rsidRPr="00D9678A" w:rsidRDefault="00A52A12" w:rsidP="00811643">
            <w:pPr>
              <w:pStyle w:val="ListParagraph"/>
              <w:numPr>
                <w:ilvl w:val="0"/>
                <w:numId w:val="23"/>
              </w:numPr>
              <w:rPr>
                <w:rFonts w:cstheme="minorHAnsi"/>
              </w:rPr>
            </w:pPr>
            <w:r w:rsidRPr="00D9678A">
              <w:rPr>
                <w:rFonts w:cstheme="minorHAnsi"/>
                <w:b/>
                <w:bCs/>
              </w:rPr>
              <w:t xml:space="preserve">Mitigating actions </w:t>
            </w:r>
            <w:r w:rsidR="00811643" w:rsidRPr="00D9678A">
              <w:rPr>
                <w:rFonts w:cstheme="minorHAnsi"/>
                <w:b/>
                <w:bCs/>
              </w:rPr>
              <w:br/>
            </w:r>
            <w:r w:rsidRPr="00D9678A">
              <w:rPr>
                <w:rFonts w:cstheme="minorHAnsi"/>
              </w:rPr>
              <w:t>Pursue integration or coordination with Urgent Care Services (UCRs).</w:t>
            </w:r>
          </w:p>
          <w:p w14:paraId="64F84A82" w14:textId="09B6E376" w:rsidR="00D9678A" w:rsidRPr="00D9678A" w:rsidRDefault="00D9678A" w:rsidP="00D9678A">
            <w:pPr>
              <w:pStyle w:val="ListParagraph"/>
              <w:rPr>
                <w:rFonts w:cstheme="minorHAnsi"/>
              </w:rPr>
            </w:pPr>
          </w:p>
        </w:tc>
      </w:tr>
    </w:tbl>
    <w:p w14:paraId="31DE38F3" w14:textId="77777777" w:rsidR="0095736E" w:rsidRPr="00D9678A" w:rsidRDefault="0095736E" w:rsidP="00FF6A63">
      <w:pPr>
        <w:spacing w:after="0"/>
        <w:rPr>
          <w:rFonts w:cstheme="minorHAnsi"/>
          <w:b/>
          <w:bCs/>
          <w:u w:val="single"/>
        </w:rPr>
      </w:pPr>
    </w:p>
    <w:p w14:paraId="2EAD9FDB" w14:textId="77777777" w:rsidR="00864688" w:rsidRPr="00D9678A" w:rsidRDefault="00864688" w:rsidP="00FF6A63">
      <w:pPr>
        <w:spacing w:after="0"/>
        <w:rPr>
          <w:rFonts w:cstheme="minorHAnsi"/>
          <w:b/>
          <w:bCs/>
        </w:rPr>
      </w:pPr>
    </w:p>
    <w:p w14:paraId="3791C3FB" w14:textId="101B2838" w:rsidR="00D9678A" w:rsidRPr="004C130C" w:rsidRDefault="00D9678A" w:rsidP="00D9678A">
      <w:pPr>
        <w:rPr>
          <w:rFonts w:cstheme="minorHAnsi"/>
          <w:b/>
          <w:bCs/>
        </w:rPr>
      </w:pPr>
      <w:r w:rsidRPr="004C130C">
        <w:rPr>
          <w:rFonts w:cstheme="minorHAnsi"/>
          <w:b/>
          <w:bCs/>
        </w:rPr>
        <w:t>To complete the survey please click on the below link</w:t>
      </w:r>
      <w:r w:rsidR="004C130C" w:rsidRPr="004C130C">
        <w:rPr>
          <w:rFonts w:cstheme="minorHAnsi"/>
          <w:b/>
          <w:bCs/>
        </w:rPr>
        <w:t>:</w:t>
      </w:r>
    </w:p>
    <w:p w14:paraId="3268FAC7" w14:textId="77777777" w:rsidR="009A0B9A" w:rsidRPr="00D9678A" w:rsidRDefault="00000000" w:rsidP="009A0B9A">
      <w:pPr>
        <w:rPr>
          <w:rFonts w:cstheme="minorHAnsi"/>
          <w:b/>
          <w:bCs/>
          <w:u w:val="single"/>
        </w:rPr>
      </w:pPr>
      <w:hyperlink r:id="rId11" w:history="1">
        <w:r w:rsidR="009A0B9A" w:rsidRPr="009D04B0">
          <w:rPr>
            <w:rStyle w:val="Hyperlink"/>
            <w:rFonts w:cstheme="minorHAnsi"/>
            <w:b/>
            <w:bCs/>
          </w:rPr>
          <w:t>https://www.surveymonkey.co.uk/r/TSA_Risk_Survey_2023</w:t>
        </w:r>
      </w:hyperlink>
      <w:r w:rsidR="009A0B9A">
        <w:rPr>
          <w:rFonts w:cstheme="minorHAnsi"/>
          <w:b/>
          <w:bCs/>
          <w:u w:val="single"/>
        </w:rPr>
        <w:t xml:space="preserve"> </w:t>
      </w:r>
    </w:p>
    <w:p w14:paraId="6C9EAFFB" w14:textId="77777777" w:rsidR="00F67ABE" w:rsidRPr="00D9678A" w:rsidRDefault="00F67ABE" w:rsidP="00FF6A63">
      <w:pPr>
        <w:spacing w:after="0"/>
        <w:rPr>
          <w:rFonts w:cstheme="minorHAnsi"/>
        </w:rPr>
      </w:pPr>
    </w:p>
    <w:sectPr w:rsidR="00F67ABE" w:rsidRPr="00D9678A" w:rsidSect="000D6B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59D3"/>
    <w:multiLevelType w:val="hybridMultilevel"/>
    <w:tmpl w:val="6CEE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A009C"/>
    <w:multiLevelType w:val="hybridMultilevel"/>
    <w:tmpl w:val="4456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A019B"/>
    <w:multiLevelType w:val="hybridMultilevel"/>
    <w:tmpl w:val="F0942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2103C"/>
    <w:multiLevelType w:val="hybridMultilevel"/>
    <w:tmpl w:val="EFC27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65AD8"/>
    <w:multiLevelType w:val="hybridMultilevel"/>
    <w:tmpl w:val="B93A7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A1010B"/>
    <w:multiLevelType w:val="hybridMultilevel"/>
    <w:tmpl w:val="704EE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4A47FE"/>
    <w:multiLevelType w:val="hybridMultilevel"/>
    <w:tmpl w:val="363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8070C"/>
    <w:multiLevelType w:val="hybridMultilevel"/>
    <w:tmpl w:val="0854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A65F4C"/>
    <w:multiLevelType w:val="hybridMultilevel"/>
    <w:tmpl w:val="736E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B56169"/>
    <w:multiLevelType w:val="hybridMultilevel"/>
    <w:tmpl w:val="7584E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FF4ACC"/>
    <w:multiLevelType w:val="hybridMultilevel"/>
    <w:tmpl w:val="5B7AD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CA082B"/>
    <w:multiLevelType w:val="hybridMultilevel"/>
    <w:tmpl w:val="1DBAA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AB3D8C"/>
    <w:multiLevelType w:val="hybridMultilevel"/>
    <w:tmpl w:val="CF04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E60873"/>
    <w:multiLevelType w:val="hybridMultilevel"/>
    <w:tmpl w:val="9774B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0A7ABA"/>
    <w:multiLevelType w:val="hybridMultilevel"/>
    <w:tmpl w:val="0A62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0D6BD0"/>
    <w:multiLevelType w:val="hybridMultilevel"/>
    <w:tmpl w:val="ACAA8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1141F8"/>
    <w:multiLevelType w:val="hybridMultilevel"/>
    <w:tmpl w:val="1B2A6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7A1567"/>
    <w:multiLevelType w:val="hybridMultilevel"/>
    <w:tmpl w:val="7CAAE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ED6CFB"/>
    <w:multiLevelType w:val="hybridMultilevel"/>
    <w:tmpl w:val="410A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E5347"/>
    <w:multiLevelType w:val="hybridMultilevel"/>
    <w:tmpl w:val="4562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945C6C"/>
    <w:multiLevelType w:val="hybridMultilevel"/>
    <w:tmpl w:val="B692A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D63B0C"/>
    <w:multiLevelType w:val="hybridMultilevel"/>
    <w:tmpl w:val="11D2E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F177D4"/>
    <w:multiLevelType w:val="hybridMultilevel"/>
    <w:tmpl w:val="863C1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9124403">
    <w:abstractNumId w:val="20"/>
  </w:num>
  <w:num w:numId="2" w16cid:durableId="244344392">
    <w:abstractNumId w:val="8"/>
  </w:num>
  <w:num w:numId="3" w16cid:durableId="81999605">
    <w:abstractNumId w:val="2"/>
  </w:num>
  <w:num w:numId="4" w16cid:durableId="48918803">
    <w:abstractNumId w:val="5"/>
  </w:num>
  <w:num w:numId="5" w16cid:durableId="905265283">
    <w:abstractNumId w:val="6"/>
  </w:num>
  <w:num w:numId="6" w16cid:durableId="2036925454">
    <w:abstractNumId w:val="15"/>
  </w:num>
  <w:num w:numId="7" w16cid:durableId="446235789">
    <w:abstractNumId w:val="11"/>
  </w:num>
  <w:num w:numId="8" w16cid:durableId="1005548013">
    <w:abstractNumId w:val="17"/>
  </w:num>
  <w:num w:numId="9" w16cid:durableId="2070104106">
    <w:abstractNumId w:val="13"/>
  </w:num>
  <w:num w:numId="10" w16cid:durableId="107823546">
    <w:abstractNumId w:val="14"/>
  </w:num>
  <w:num w:numId="11" w16cid:durableId="1877767891">
    <w:abstractNumId w:val="10"/>
  </w:num>
  <w:num w:numId="12" w16cid:durableId="1589846047">
    <w:abstractNumId w:val="0"/>
  </w:num>
  <w:num w:numId="13" w16cid:durableId="174998013">
    <w:abstractNumId w:val="9"/>
  </w:num>
  <w:num w:numId="14" w16cid:durableId="919171217">
    <w:abstractNumId w:val="7"/>
  </w:num>
  <w:num w:numId="15" w16cid:durableId="2145652773">
    <w:abstractNumId w:val="4"/>
  </w:num>
  <w:num w:numId="16" w16cid:durableId="130556291">
    <w:abstractNumId w:val="18"/>
  </w:num>
  <w:num w:numId="17" w16cid:durableId="1174953212">
    <w:abstractNumId w:val="22"/>
  </w:num>
  <w:num w:numId="18" w16cid:durableId="776607377">
    <w:abstractNumId w:val="1"/>
  </w:num>
  <w:num w:numId="19" w16cid:durableId="309948311">
    <w:abstractNumId w:val="12"/>
  </w:num>
  <w:num w:numId="20" w16cid:durableId="387609199">
    <w:abstractNumId w:val="16"/>
  </w:num>
  <w:num w:numId="21" w16cid:durableId="1856265257">
    <w:abstractNumId w:val="21"/>
  </w:num>
  <w:num w:numId="22" w16cid:durableId="929504047">
    <w:abstractNumId w:val="3"/>
  </w:num>
  <w:num w:numId="23" w16cid:durableId="17521981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EC"/>
    <w:rsid w:val="000260C7"/>
    <w:rsid w:val="000527EE"/>
    <w:rsid w:val="00053E52"/>
    <w:rsid w:val="00057034"/>
    <w:rsid w:val="000B3501"/>
    <w:rsid w:val="000B7B1A"/>
    <w:rsid w:val="000D6B3F"/>
    <w:rsid w:val="000D7518"/>
    <w:rsid w:val="001015BE"/>
    <w:rsid w:val="001530B7"/>
    <w:rsid w:val="00193E89"/>
    <w:rsid w:val="001A1297"/>
    <w:rsid w:val="001E33AD"/>
    <w:rsid w:val="002216B7"/>
    <w:rsid w:val="00263AF9"/>
    <w:rsid w:val="002A6740"/>
    <w:rsid w:val="002B6DF3"/>
    <w:rsid w:val="002C5D0E"/>
    <w:rsid w:val="002D3358"/>
    <w:rsid w:val="003471F1"/>
    <w:rsid w:val="003579F4"/>
    <w:rsid w:val="003678BB"/>
    <w:rsid w:val="003968A3"/>
    <w:rsid w:val="003B1778"/>
    <w:rsid w:val="003C14C7"/>
    <w:rsid w:val="0040183C"/>
    <w:rsid w:val="00435844"/>
    <w:rsid w:val="00466376"/>
    <w:rsid w:val="00493D8A"/>
    <w:rsid w:val="004A453A"/>
    <w:rsid w:val="004C130C"/>
    <w:rsid w:val="00522426"/>
    <w:rsid w:val="00555B56"/>
    <w:rsid w:val="005670BB"/>
    <w:rsid w:val="00580286"/>
    <w:rsid w:val="005926F4"/>
    <w:rsid w:val="005939C1"/>
    <w:rsid w:val="005A1E68"/>
    <w:rsid w:val="005C0446"/>
    <w:rsid w:val="005F73E4"/>
    <w:rsid w:val="006042B1"/>
    <w:rsid w:val="00635DB5"/>
    <w:rsid w:val="0065051F"/>
    <w:rsid w:val="006878D6"/>
    <w:rsid w:val="006C2522"/>
    <w:rsid w:val="006E1291"/>
    <w:rsid w:val="006F1BDF"/>
    <w:rsid w:val="00730631"/>
    <w:rsid w:val="00765F27"/>
    <w:rsid w:val="00783746"/>
    <w:rsid w:val="0079585C"/>
    <w:rsid w:val="007B10D9"/>
    <w:rsid w:val="007C00C3"/>
    <w:rsid w:val="007D2EFA"/>
    <w:rsid w:val="007D4BF8"/>
    <w:rsid w:val="007F4CA0"/>
    <w:rsid w:val="008041B2"/>
    <w:rsid w:val="00811643"/>
    <w:rsid w:val="00834850"/>
    <w:rsid w:val="00862610"/>
    <w:rsid w:val="00864688"/>
    <w:rsid w:val="008A0F57"/>
    <w:rsid w:val="008F1378"/>
    <w:rsid w:val="008F1829"/>
    <w:rsid w:val="0095736E"/>
    <w:rsid w:val="009936B1"/>
    <w:rsid w:val="009A0B9A"/>
    <w:rsid w:val="009A4A46"/>
    <w:rsid w:val="009F59F3"/>
    <w:rsid w:val="00A00E43"/>
    <w:rsid w:val="00A059D8"/>
    <w:rsid w:val="00A52A12"/>
    <w:rsid w:val="00A574D5"/>
    <w:rsid w:val="00A7005A"/>
    <w:rsid w:val="00A818D8"/>
    <w:rsid w:val="00A97ABE"/>
    <w:rsid w:val="00B05F72"/>
    <w:rsid w:val="00B37726"/>
    <w:rsid w:val="00B544FC"/>
    <w:rsid w:val="00B6252E"/>
    <w:rsid w:val="00B75E2A"/>
    <w:rsid w:val="00B93DEC"/>
    <w:rsid w:val="00B97D01"/>
    <w:rsid w:val="00BA2618"/>
    <w:rsid w:val="00BB7018"/>
    <w:rsid w:val="00BC5575"/>
    <w:rsid w:val="00C22485"/>
    <w:rsid w:val="00C332C0"/>
    <w:rsid w:val="00C356D7"/>
    <w:rsid w:val="00C47E21"/>
    <w:rsid w:val="00C50162"/>
    <w:rsid w:val="00C56CAB"/>
    <w:rsid w:val="00C8090D"/>
    <w:rsid w:val="00C922AF"/>
    <w:rsid w:val="00C955BA"/>
    <w:rsid w:val="00CA6BB5"/>
    <w:rsid w:val="00CC15DA"/>
    <w:rsid w:val="00CC41B3"/>
    <w:rsid w:val="00CC5A5B"/>
    <w:rsid w:val="00CE7CF1"/>
    <w:rsid w:val="00CF3497"/>
    <w:rsid w:val="00D122BB"/>
    <w:rsid w:val="00D23146"/>
    <w:rsid w:val="00D23E2E"/>
    <w:rsid w:val="00D76F70"/>
    <w:rsid w:val="00D82607"/>
    <w:rsid w:val="00D84914"/>
    <w:rsid w:val="00D9678A"/>
    <w:rsid w:val="00DA5B8F"/>
    <w:rsid w:val="00DB1478"/>
    <w:rsid w:val="00DB5819"/>
    <w:rsid w:val="00DF6355"/>
    <w:rsid w:val="00E33265"/>
    <w:rsid w:val="00E7650B"/>
    <w:rsid w:val="00EC61E2"/>
    <w:rsid w:val="00EF0953"/>
    <w:rsid w:val="00EF3EDB"/>
    <w:rsid w:val="00F0118A"/>
    <w:rsid w:val="00F54A44"/>
    <w:rsid w:val="00F67ABE"/>
    <w:rsid w:val="00F8430F"/>
    <w:rsid w:val="00F95A53"/>
    <w:rsid w:val="00FF5B1F"/>
    <w:rsid w:val="00FF6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873A2"/>
  <w15:chartTrackingRefBased/>
  <w15:docId w15:val="{08137CAE-8C10-477E-AC10-8C1B8263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2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5B56"/>
    <w:pPr>
      <w:ind w:left="720"/>
      <w:contextualSpacing/>
    </w:pPr>
  </w:style>
  <w:style w:type="character" w:styleId="Hyperlink">
    <w:name w:val="Hyperlink"/>
    <w:basedOn w:val="DefaultParagraphFont"/>
    <w:uiPriority w:val="99"/>
    <w:unhideWhenUsed/>
    <w:rsid w:val="004C130C"/>
    <w:rPr>
      <w:color w:val="0563C1" w:themeColor="hyperlink"/>
      <w:u w:val="single"/>
    </w:rPr>
  </w:style>
  <w:style w:type="character" w:styleId="UnresolvedMention">
    <w:name w:val="Unresolved Mention"/>
    <w:basedOn w:val="DefaultParagraphFont"/>
    <w:uiPriority w:val="99"/>
    <w:semiHidden/>
    <w:unhideWhenUsed/>
    <w:rsid w:val="004C130C"/>
    <w:rPr>
      <w:color w:val="605E5C"/>
      <w:shd w:val="clear" w:color="auto" w:fill="E1DFDD"/>
    </w:rPr>
  </w:style>
  <w:style w:type="character" w:styleId="FollowedHyperlink">
    <w:name w:val="FollowedHyperlink"/>
    <w:basedOn w:val="DefaultParagraphFont"/>
    <w:uiPriority w:val="99"/>
    <w:semiHidden/>
    <w:unhideWhenUsed/>
    <w:rsid w:val="004C13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60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uk/r/TSA_Risk_Survey_2023" TargetMode="External"/><Relationship Id="rId5" Type="http://schemas.openxmlformats.org/officeDocument/2006/relationships/numbering" Target="numbering.xml"/><Relationship Id="rId10" Type="http://schemas.openxmlformats.org/officeDocument/2006/relationships/hyperlink" Target="https://www.surveymonkey.co.uk/r/TSA_Risk_Survey_2023"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74659-4e22-40b5-9436-ae1d88176db8">
      <Terms xmlns="http://schemas.microsoft.com/office/infopath/2007/PartnerControls"/>
    </lcf76f155ced4ddcb4097134ff3c332f>
    <TaxCatchAll xmlns="5107b649-8973-4dc4-b043-623d14cb65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4" ma:contentTypeDescription="Create a new document." ma:contentTypeScope="" ma:versionID="e6524656a272f68682d943b807b762c9">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329a7eeb2418a53261c5543b0fdd4b30" ns2:_="" ns3:_="">
    <xsd:import namespace="e5874659-4e22-40b5-9436-ae1d88176db8"/>
    <xsd:import namespace="5107b649-8973-4dc4-b043-623d14cb655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412e766-30f6-4ae8-89f4-b15526f3e7d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968367f-c946-4ee3-a880-14da79122cf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065A4E-4A25-4500-8BA1-7A346E861F98}">
  <ds:schemaRefs>
    <ds:schemaRef ds:uri="http://schemas.openxmlformats.org/officeDocument/2006/bibliography"/>
  </ds:schemaRefs>
</ds:datastoreItem>
</file>

<file path=customXml/itemProps2.xml><?xml version="1.0" encoding="utf-8"?>
<ds:datastoreItem xmlns:ds="http://schemas.openxmlformats.org/officeDocument/2006/customXml" ds:itemID="{47020D62-E340-4F41-8F71-5EAB83AE4157}">
  <ds:schemaRefs>
    <ds:schemaRef ds:uri="http://schemas.microsoft.com/sharepoint/v3/contenttype/forms"/>
  </ds:schemaRefs>
</ds:datastoreItem>
</file>

<file path=customXml/itemProps3.xml><?xml version="1.0" encoding="utf-8"?>
<ds:datastoreItem xmlns:ds="http://schemas.openxmlformats.org/officeDocument/2006/customXml" ds:itemID="{749B31E9-FE03-40FB-830E-1CE2733089CC}">
  <ds:schemaRefs>
    <ds:schemaRef ds:uri="http://schemas.microsoft.com/office/2006/metadata/properties"/>
    <ds:schemaRef ds:uri="http://schemas.microsoft.com/office/infopath/2007/PartnerControls"/>
    <ds:schemaRef ds:uri="e5874659-4e22-40b5-9436-ae1d88176db8"/>
    <ds:schemaRef ds:uri="5107b649-8973-4dc4-b043-623d14cb6558"/>
  </ds:schemaRefs>
</ds:datastoreItem>
</file>

<file path=customXml/itemProps4.xml><?xml version="1.0" encoding="utf-8"?>
<ds:datastoreItem xmlns:ds="http://schemas.openxmlformats.org/officeDocument/2006/customXml" ds:itemID="{4BA6EBF8-AAFF-4B35-B5A6-F796F8562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2891</Words>
  <Characters>16480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sadler</dc:creator>
  <cp:keywords/>
  <dc:description/>
  <cp:lastModifiedBy>Steve Sadler</cp:lastModifiedBy>
  <cp:revision>6</cp:revision>
  <cp:lastPrinted>2022-10-20T10:05:00Z</cp:lastPrinted>
  <dcterms:created xsi:type="dcterms:W3CDTF">2023-10-23T09:54:00Z</dcterms:created>
  <dcterms:modified xsi:type="dcterms:W3CDTF">2023-10-23T10:12:00Z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Order">
    <vt:r8>1023600</vt:r8>
  </property>
  <property fmtid="{D5CDD505-2E9C-101B-9397-08002B2CF9AE}" pid="4" name="MediaServiceImageTags">
    <vt:lpwstr/>
  </property>
</Properties>
</file>