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A0C8" w14:textId="67B2BCC1" w:rsidR="00A27AC2" w:rsidRPr="00487B6C" w:rsidRDefault="009C0578" w:rsidP="00CC5AE7">
      <w:pPr>
        <w:pStyle w:val="Heading1"/>
        <w:ind w:left="0" w:firstLine="0"/>
        <w:rPr>
          <w:color w:val="auto"/>
          <w:sz w:val="36"/>
          <w:szCs w:val="36"/>
        </w:rPr>
      </w:pPr>
      <w:bookmarkStart w:id="0" w:name="_gjdgxs" w:colFirst="0" w:colLast="0"/>
      <w:bookmarkStart w:id="1" w:name="_Toc168411259"/>
      <w:bookmarkStart w:id="2" w:name="_Toc168982215"/>
      <w:bookmarkEnd w:id="0"/>
      <w:r w:rsidRPr="00487B6C">
        <w:rPr>
          <w:color w:val="auto"/>
          <w:sz w:val="36"/>
          <w:szCs w:val="36"/>
        </w:rPr>
        <w:t>Data Sharing Agreement - Digital Switchover Telecare Provision</w:t>
      </w:r>
      <w:bookmarkEnd w:id="1"/>
      <w:bookmarkEnd w:id="2"/>
      <w:r w:rsidR="00FA24C0">
        <w:rPr>
          <w:color w:val="auto"/>
          <w:sz w:val="36"/>
          <w:szCs w:val="36"/>
        </w:rPr>
        <w:br/>
      </w:r>
    </w:p>
    <w:p w14:paraId="628093AF" w14:textId="77777777" w:rsidR="00487B6C" w:rsidRPr="00591B85" w:rsidRDefault="00487B6C" w:rsidP="00CC5AE7">
      <w:pPr>
        <w:pStyle w:val="Heading2"/>
        <w:ind w:left="0" w:firstLine="0"/>
        <w:rPr>
          <w:color w:val="auto"/>
          <w:sz w:val="22"/>
          <w:szCs w:val="22"/>
        </w:rPr>
      </w:pPr>
      <w:bookmarkStart w:id="3" w:name="_Toc168411260"/>
      <w:bookmarkStart w:id="4" w:name="_Toc168982216"/>
      <w:r w:rsidRPr="00591B85">
        <w:rPr>
          <w:color w:val="auto"/>
          <w:sz w:val="22"/>
          <w:szCs w:val="22"/>
        </w:rPr>
        <w:t>Summary of purpose</w:t>
      </w:r>
      <w:bookmarkEnd w:id="3"/>
      <w:bookmarkEnd w:id="4"/>
    </w:p>
    <w:p w14:paraId="7A4B9D16" w14:textId="276E4625" w:rsidR="00591B85" w:rsidRDefault="00487B6C" w:rsidP="00CC5AE7">
      <w:pPr>
        <w:widowControl w:val="0"/>
        <w:pBdr>
          <w:top w:val="nil"/>
          <w:left w:val="nil"/>
          <w:bottom w:val="nil"/>
          <w:right w:val="nil"/>
          <w:between w:val="nil"/>
        </w:pBdr>
        <w:spacing w:before="0" w:after="0" w:line="240" w:lineRule="auto"/>
      </w:pPr>
      <w:r>
        <w:t>Local authorities (LAs) sharing telephone numbers of adult social care clients who have telecare devices, to communications providers (CPs), so that suitable support can be provided to individuals during the digital switchover of analogue phone lines.</w:t>
      </w:r>
      <w:bookmarkStart w:id="5" w:name="_3s27dfopbrm" w:colFirst="0" w:colLast="0"/>
      <w:bookmarkEnd w:id="5"/>
    </w:p>
    <w:p w14:paraId="52207743" w14:textId="77777777" w:rsidR="00591B85" w:rsidRDefault="00591B85" w:rsidP="00CC5AE7">
      <w:pPr>
        <w:widowControl w:val="0"/>
        <w:pBdr>
          <w:top w:val="nil"/>
          <w:left w:val="nil"/>
          <w:bottom w:val="nil"/>
          <w:right w:val="nil"/>
          <w:between w:val="nil"/>
        </w:pBdr>
        <w:spacing w:before="0" w:after="0" w:line="240" w:lineRule="auto"/>
      </w:pPr>
    </w:p>
    <w:p w14:paraId="0CA56BF4" w14:textId="77777777" w:rsidR="001F75E1" w:rsidRDefault="001F75E1" w:rsidP="002D3AB7">
      <w:pPr>
        <w:widowControl w:val="0"/>
        <w:spacing w:before="0" w:after="0" w:line="240" w:lineRule="auto"/>
      </w:pPr>
    </w:p>
    <w:tbl>
      <w:tblPr>
        <w:tblStyle w:val="TableGrid"/>
        <w:tblW w:w="9918" w:type="dxa"/>
        <w:tblLook w:val="04A0" w:firstRow="1" w:lastRow="0" w:firstColumn="1" w:lastColumn="0" w:noHBand="0" w:noVBand="1"/>
      </w:tblPr>
      <w:tblGrid>
        <w:gridCol w:w="9918"/>
      </w:tblGrid>
      <w:tr w:rsidR="001F75E1" w14:paraId="3998778F" w14:textId="77777777" w:rsidTr="008B075F">
        <w:trPr>
          <w:trHeight w:hRule="exact" w:val="680"/>
        </w:trPr>
        <w:tc>
          <w:tcPr>
            <w:tcW w:w="9918" w:type="dxa"/>
            <w:shd w:val="clear" w:color="auto" w:fill="D9D9D9"/>
            <w:vAlign w:val="center"/>
          </w:tcPr>
          <w:p w14:paraId="3AC1D86C" w14:textId="379D6CBE" w:rsidR="001F75E1" w:rsidRPr="001F75E1" w:rsidRDefault="001F75E1" w:rsidP="001F75E1">
            <w:pPr>
              <w:pStyle w:val="Heading2"/>
              <w:ind w:left="0" w:firstLine="0"/>
              <w:rPr>
                <w:color w:val="auto"/>
                <w:sz w:val="22"/>
                <w:szCs w:val="22"/>
              </w:rPr>
            </w:pPr>
            <w:bookmarkStart w:id="6" w:name="_Toc168411261"/>
            <w:bookmarkStart w:id="7" w:name="_Toc168982217"/>
            <w:r w:rsidRPr="00591B85">
              <w:rPr>
                <w:color w:val="auto"/>
                <w:sz w:val="22"/>
                <w:szCs w:val="22"/>
              </w:rPr>
              <w:t>Parties</w:t>
            </w:r>
            <w:bookmarkEnd w:id="6"/>
            <w:bookmarkEnd w:id="7"/>
            <w:r w:rsidRPr="00591B85">
              <w:rPr>
                <w:color w:val="auto"/>
                <w:sz w:val="22"/>
                <w:szCs w:val="22"/>
              </w:rPr>
              <w:t xml:space="preserve"> </w:t>
            </w:r>
          </w:p>
        </w:tc>
      </w:tr>
      <w:tr w:rsidR="001F75E1" w14:paraId="1D1B63AE" w14:textId="77777777" w:rsidTr="008B075F">
        <w:trPr>
          <w:trHeight w:hRule="exact" w:val="680"/>
        </w:trPr>
        <w:tc>
          <w:tcPr>
            <w:tcW w:w="9918" w:type="dxa"/>
            <w:vAlign w:val="center"/>
          </w:tcPr>
          <w:p w14:paraId="292F7800" w14:textId="4376D363" w:rsidR="001F75E1" w:rsidRDefault="001F75E1" w:rsidP="00D10620">
            <w:pPr>
              <w:pStyle w:val="ListParagraph"/>
              <w:widowControl w:val="0"/>
              <w:numPr>
                <w:ilvl w:val="0"/>
                <w:numId w:val="24"/>
              </w:numPr>
              <w:pBdr>
                <w:top w:val="nil"/>
                <w:left w:val="nil"/>
                <w:bottom w:val="nil"/>
                <w:right w:val="nil"/>
                <w:between w:val="nil"/>
              </w:pBdr>
            </w:pPr>
            <w:r w:rsidRPr="00D10620">
              <w:rPr>
                <w:highlight w:val="yellow"/>
              </w:rPr>
              <w:t>[Insert Local authority name]</w:t>
            </w:r>
          </w:p>
        </w:tc>
      </w:tr>
      <w:tr w:rsidR="001F75E1" w14:paraId="2BD97C59" w14:textId="77777777" w:rsidTr="008B075F">
        <w:trPr>
          <w:trHeight w:hRule="exact" w:val="680"/>
        </w:trPr>
        <w:tc>
          <w:tcPr>
            <w:tcW w:w="9918" w:type="dxa"/>
            <w:vAlign w:val="center"/>
          </w:tcPr>
          <w:p w14:paraId="3ECBCF38" w14:textId="108993F9" w:rsidR="001F75E1" w:rsidRDefault="001F75E1" w:rsidP="00D10620">
            <w:pPr>
              <w:pStyle w:val="ListParagraph"/>
              <w:widowControl w:val="0"/>
              <w:numPr>
                <w:ilvl w:val="0"/>
                <w:numId w:val="24"/>
              </w:numPr>
            </w:pPr>
            <w:r w:rsidRPr="00D10620">
              <w:rPr>
                <w:highlight w:val="yellow"/>
              </w:rPr>
              <w:t>[Insert CP name]</w:t>
            </w:r>
          </w:p>
        </w:tc>
      </w:tr>
      <w:tr w:rsidR="001F75E1" w14:paraId="582ABF7C" w14:textId="77777777" w:rsidTr="008B075F">
        <w:trPr>
          <w:trHeight w:hRule="exact" w:val="680"/>
        </w:trPr>
        <w:tc>
          <w:tcPr>
            <w:tcW w:w="9918" w:type="dxa"/>
            <w:vAlign w:val="center"/>
          </w:tcPr>
          <w:p w14:paraId="5184367A" w14:textId="49735746" w:rsidR="001F75E1" w:rsidRDefault="001F75E1" w:rsidP="00D10620">
            <w:pPr>
              <w:pStyle w:val="ListParagraph"/>
              <w:widowControl w:val="0"/>
              <w:numPr>
                <w:ilvl w:val="0"/>
                <w:numId w:val="24"/>
              </w:numPr>
            </w:pPr>
            <w:r>
              <w:t xml:space="preserve">Controller to Controller </w:t>
            </w:r>
          </w:p>
        </w:tc>
      </w:tr>
    </w:tbl>
    <w:p w14:paraId="2FBDFE43" w14:textId="77777777" w:rsidR="001F75E1" w:rsidRDefault="001F75E1" w:rsidP="002D3AB7">
      <w:pPr>
        <w:widowControl w:val="0"/>
        <w:spacing w:before="0" w:after="0" w:line="240" w:lineRule="auto"/>
      </w:pPr>
    </w:p>
    <w:p w14:paraId="5EDCBDEF" w14:textId="77777777" w:rsidR="00693FCC" w:rsidRDefault="00693FCC" w:rsidP="004B679B">
      <w:pPr>
        <w:sectPr w:rsidR="00693FCC" w:rsidSect="008B075F">
          <w:footerReference w:type="default" r:id="rId11"/>
          <w:pgSz w:w="11900" w:h="16820"/>
          <w:pgMar w:top="425" w:right="1936" w:bottom="0" w:left="708" w:header="283" w:footer="283" w:gutter="0"/>
          <w:pgNumType w:start="1"/>
          <w:cols w:space="720"/>
        </w:sectPr>
      </w:pPr>
      <w:bookmarkStart w:id="8" w:name="_Toc168411262"/>
    </w:p>
    <w:tbl>
      <w:tblPr>
        <w:tblStyle w:val="TableGrid"/>
        <w:tblW w:w="4531" w:type="dxa"/>
        <w:tblLook w:val="04A0" w:firstRow="1" w:lastRow="0" w:firstColumn="1" w:lastColumn="0" w:noHBand="0" w:noVBand="1"/>
      </w:tblPr>
      <w:tblGrid>
        <w:gridCol w:w="4531"/>
      </w:tblGrid>
      <w:tr w:rsidR="00C73504" w14:paraId="29F7ED2A" w14:textId="77777777" w:rsidTr="00A4681E">
        <w:trPr>
          <w:trHeight w:hRule="exact" w:val="680"/>
        </w:trPr>
        <w:tc>
          <w:tcPr>
            <w:tcW w:w="4531" w:type="dxa"/>
            <w:shd w:val="clear" w:color="auto" w:fill="D9D9D9"/>
            <w:vAlign w:val="center"/>
          </w:tcPr>
          <w:p w14:paraId="03D553AE" w14:textId="06AB6E0E" w:rsidR="00C73504" w:rsidRPr="00C73504" w:rsidRDefault="00C73504" w:rsidP="00426E66">
            <w:pPr>
              <w:pStyle w:val="Heading2"/>
              <w:ind w:left="0" w:firstLine="0"/>
            </w:pPr>
            <w:bookmarkStart w:id="9" w:name="_Toc168982218"/>
            <w:r w:rsidRPr="00377956">
              <w:rPr>
                <w:color w:val="auto"/>
                <w:sz w:val="22"/>
                <w:szCs w:val="22"/>
              </w:rPr>
              <w:t>Part 2 processing</w:t>
            </w:r>
            <w:bookmarkEnd w:id="8"/>
            <w:bookmarkEnd w:id="9"/>
          </w:p>
        </w:tc>
      </w:tr>
      <w:tr w:rsidR="00C73504" w14:paraId="165C36D4" w14:textId="77777777" w:rsidTr="00A4681E">
        <w:trPr>
          <w:trHeight w:hRule="exact" w:val="680"/>
        </w:trPr>
        <w:tc>
          <w:tcPr>
            <w:tcW w:w="4531" w:type="dxa"/>
            <w:vAlign w:val="center"/>
          </w:tcPr>
          <w:p w14:paraId="27522B84" w14:textId="555A6AD8" w:rsidR="00C73504" w:rsidRDefault="00C73504" w:rsidP="004E56B9">
            <w:pPr>
              <w:pStyle w:val="ListParagraph"/>
              <w:widowControl w:val="0"/>
              <w:numPr>
                <w:ilvl w:val="0"/>
                <w:numId w:val="22"/>
              </w:numPr>
              <w:tabs>
                <w:tab w:val="left" w:pos="988"/>
                <w:tab w:val="left" w:pos="4777"/>
                <w:tab w:val="left" w:pos="5662"/>
              </w:tabs>
            </w:pPr>
            <w:r>
              <w:t>Personal data</w:t>
            </w:r>
          </w:p>
        </w:tc>
      </w:tr>
      <w:tr w:rsidR="00C73504" w14:paraId="03F947CE" w14:textId="77777777" w:rsidTr="00A4681E">
        <w:trPr>
          <w:trHeight w:hRule="exact" w:val="680"/>
        </w:trPr>
        <w:tc>
          <w:tcPr>
            <w:tcW w:w="4531" w:type="dxa"/>
            <w:vAlign w:val="center"/>
          </w:tcPr>
          <w:p w14:paraId="6AB02E9E" w14:textId="3AA07707" w:rsidR="00C73504" w:rsidRDefault="00C73504" w:rsidP="004E56B9">
            <w:pPr>
              <w:pStyle w:val="ListParagraph"/>
              <w:widowControl w:val="0"/>
              <w:numPr>
                <w:ilvl w:val="0"/>
                <w:numId w:val="22"/>
              </w:numPr>
              <w:tabs>
                <w:tab w:val="left" w:pos="988"/>
                <w:tab w:val="left" w:pos="4777"/>
                <w:tab w:val="left" w:pos="5662"/>
              </w:tabs>
            </w:pPr>
            <w:r w:rsidRPr="004E56B9">
              <w:rPr>
                <w:highlight w:val="yellow"/>
              </w:rPr>
              <w:t>Insert Special category data</w:t>
            </w:r>
          </w:p>
        </w:tc>
      </w:tr>
    </w:tbl>
    <w:p w14:paraId="52D65706" w14:textId="77777777" w:rsidR="00C73504" w:rsidRPr="00591B85" w:rsidRDefault="00C73504" w:rsidP="002D3AB7">
      <w:pPr>
        <w:widowControl w:val="0"/>
        <w:spacing w:before="0" w:after="0" w:line="240" w:lineRule="auto"/>
      </w:pPr>
    </w:p>
    <w:tbl>
      <w:tblPr>
        <w:tblStyle w:val="TableGrid"/>
        <w:tblW w:w="4961" w:type="dxa"/>
        <w:tblInd w:w="-5" w:type="dxa"/>
        <w:tblLook w:val="04A0" w:firstRow="1" w:lastRow="0" w:firstColumn="1" w:lastColumn="0" w:noHBand="0" w:noVBand="1"/>
      </w:tblPr>
      <w:tblGrid>
        <w:gridCol w:w="4961"/>
      </w:tblGrid>
      <w:tr w:rsidR="00C73504" w14:paraId="61EAC16D" w14:textId="77777777" w:rsidTr="008038B9">
        <w:trPr>
          <w:trHeight w:hRule="exact" w:val="680"/>
        </w:trPr>
        <w:tc>
          <w:tcPr>
            <w:tcW w:w="4961" w:type="dxa"/>
            <w:shd w:val="clear" w:color="auto" w:fill="D9D9D9"/>
            <w:vAlign w:val="center"/>
          </w:tcPr>
          <w:p w14:paraId="768B87EF" w14:textId="269250C2" w:rsidR="00C73504" w:rsidRPr="00C73504" w:rsidRDefault="00C73504" w:rsidP="00426E66">
            <w:pPr>
              <w:pStyle w:val="Heading2"/>
              <w:ind w:left="0" w:firstLine="0"/>
              <w:rPr>
                <w:color w:val="auto"/>
                <w:sz w:val="22"/>
                <w:szCs w:val="22"/>
              </w:rPr>
            </w:pPr>
            <w:bookmarkStart w:id="10" w:name="_Toc168411263"/>
            <w:bookmarkStart w:id="11" w:name="_Toc168982219"/>
            <w:r w:rsidRPr="00377956">
              <w:rPr>
                <w:color w:val="auto"/>
                <w:sz w:val="22"/>
                <w:szCs w:val="22"/>
              </w:rPr>
              <w:t>Key legislation</w:t>
            </w:r>
            <w:bookmarkEnd w:id="10"/>
            <w:bookmarkEnd w:id="11"/>
          </w:p>
        </w:tc>
      </w:tr>
      <w:tr w:rsidR="00C73504" w14:paraId="569AC7C1" w14:textId="77777777" w:rsidTr="008038B9">
        <w:trPr>
          <w:trHeight w:hRule="exact" w:val="680"/>
        </w:trPr>
        <w:tc>
          <w:tcPr>
            <w:tcW w:w="4961" w:type="dxa"/>
            <w:vAlign w:val="center"/>
          </w:tcPr>
          <w:p w14:paraId="7C40A22E" w14:textId="4A6BF45F" w:rsidR="00C73504" w:rsidRDefault="00C73504" w:rsidP="00741CE4">
            <w:pPr>
              <w:pStyle w:val="ListParagraph"/>
              <w:widowControl w:val="0"/>
              <w:numPr>
                <w:ilvl w:val="0"/>
                <w:numId w:val="23"/>
              </w:numPr>
              <w:tabs>
                <w:tab w:val="left" w:pos="988"/>
                <w:tab w:val="left" w:pos="4777"/>
                <w:tab w:val="left" w:pos="5662"/>
              </w:tabs>
            </w:pPr>
            <w:r>
              <w:t>Care Act 2014</w:t>
            </w:r>
          </w:p>
        </w:tc>
      </w:tr>
      <w:tr w:rsidR="00C73504" w14:paraId="32AB27FD" w14:textId="77777777" w:rsidTr="008038B9">
        <w:trPr>
          <w:trHeight w:hRule="exact" w:val="680"/>
        </w:trPr>
        <w:tc>
          <w:tcPr>
            <w:tcW w:w="4961" w:type="dxa"/>
            <w:vAlign w:val="center"/>
          </w:tcPr>
          <w:p w14:paraId="6B54E391" w14:textId="316B8B65" w:rsidR="00C73504" w:rsidRDefault="00C73504" w:rsidP="00741CE4">
            <w:pPr>
              <w:pStyle w:val="ListParagraph"/>
              <w:widowControl w:val="0"/>
              <w:numPr>
                <w:ilvl w:val="0"/>
                <w:numId w:val="23"/>
              </w:numPr>
              <w:tabs>
                <w:tab w:val="left" w:pos="988"/>
                <w:tab w:val="left" w:pos="4777"/>
                <w:tab w:val="left" w:pos="5662"/>
              </w:tabs>
            </w:pPr>
            <w:r w:rsidRPr="00377956">
              <w:t>Public Switched Telephone Network Charter</w:t>
            </w:r>
          </w:p>
        </w:tc>
      </w:tr>
    </w:tbl>
    <w:p w14:paraId="556F680B" w14:textId="77777777" w:rsidR="00693FCC" w:rsidRDefault="00693FCC" w:rsidP="00CC5AE7">
      <w:pPr>
        <w:pStyle w:val="ListParagraph"/>
        <w:widowControl w:val="0"/>
        <w:tabs>
          <w:tab w:val="left" w:pos="4777"/>
          <w:tab w:val="left" w:pos="5662"/>
        </w:tabs>
        <w:spacing w:before="0" w:after="0" w:line="240" w:lineRule="auto"/>
        <w:ind w:left="0"/>
        <w:sectPr w:rsidR="00693FCC" w:rsidSect="008B075F">
          <w:type w:val="continuous"/>
          <w:pgSz w:w="11900" w:h="16820"/>
          <w:pgMar w:top="425" w:right="1936" w:bottom="0" w:left="708" w:header="283" w:footer="283" w:gutter="0"/>
          <w:pgNumType w:start="1"/>
          <w:cols w:num="2" w:space="720"/>
        </w:sect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426"/>
      </w:tblGrid>
      <w:tr w:rsidR="00AA2254" w14:paraId="5852A4B6" w14:textId="77777777" w:rsidTr="00803DDD">
        <w:trPr>
          <w:gridAfter w:val="1"/>
          <w:wAfter w:w="426" w:type="dxa"/>
          <w:trHeight w:hRule="exact" w:val="1103"/>
        </w:trPr>
        <w:tc>
          <w:tcPr>
            <w:tcW w:w="1980" w:type="dxa"/>
            <w:shd w:val="clear" w:color="auto" w:fill="D9D9D9"/>
            <w:vAlign w:val="center"/>
          </w:tcPr>
          <w:p w14:paraId="07BFE8D0" w14:textId="7E71C67D" w:rsidR="00A22056" w:rsidRDefault="00A22056" w:rsidP="008854F9">
            <w:pPr>
              <w:widowControl w:val="0"/>
              <w:spacing w:before="0" w:after="0" w:line="276" w:lineRule="auto"/>
            </w:pPr>
            <w:r w:rsidRPr="00A43385">
              <w:rPr>
                <w:b/>
              </w:rPr>
              <w:t>Name of signatory</w:t>
            </w:r>
          </w:p>
        </w:tc>
        <w:tc>
          <w:tcPr>
            <w:tcW w:w="2551" w:type="dxa"/>
            <w:vAlign w:val="center"/>
          </w:tcPr>
          <w:p w14:paraId="6853222A" w14:textId="77777777" w:rsidR="00A22056" w:rsidRDefault="00A22056" w:rsidP="00426E66">
            <w:pPr>
              <w:widowControl w:val="0"/>
              <w:pBdr>
                <w:top w:val="nil"/>
                <w:left w:val="nil"/>
                <w:bottom w:val="nil"/>
                <w:right w:val="nil"/>
                <w:between w:val="nil"/>
              </w:pBdr>
              <w:spacing w:before="0" w:after="0" w:line="240" w:lineRule="auto"/>
            </w:pPr>
          </w:p>
        </w:tc>
      </w:tr>
      <w:tr w:rsidR="00AA2254" w14:paraId="33DA5437" w14:textId="77777777" w:rsidTr="00803DDD">
        <w:trPr>
          <w:gridAfter w:val="1"/>
          <w:wAfter w:w="426" w:type="dxa"/>
          <w:trHeight w:hRule="exact" w:val="680"/>
        </w:trPr>
        <w:tc>
          <w:tcPr>
            <w:tcW w:w="1980" w:type="dxa"/>
            <w:shd w:val="clear" w:color="auto" w:fill="D9D9D9"/>
            <w:vAlign w:val="center"/>
          </w:tcPr>
          <w:p w14:paraId="252A719E" w14:textId="763EE476" w:rsidR="00A22056" w:rsidRDefault="00A22056" w:rsidP="008854F9">
            <w:pPr>
              <w:widowControl w:val="0"/>
              <w:spacing w:before="0" w:after="0" w:line="276" w:lineRule="auto"/>
            </w:pPr>
            <w:r w:rsidRPr="00A43385">
              <w:rPr>
                <w:b/>
              </w:rPr>
              <w:t>Date of agreement</w:t>
            </w:r>
          </w:p>
        </w:tc>
        <w:tc>
          <w:tcPr>
            <w:tcW w:w="2551" w:type="dxa"/>
            <w:vAlign w:val="center"/>
          </w:tcPr>
          <w:p w14:paraId="685584F3" w14:textId="77777777" w:rsidR="00A22056" w:rsidRDefault="00A22056" w:rsidP="00426E66">
            <w:pPr>
              <w:widowControl w:val="0"/>
              <w:spacing w:before="0" w:after="0" w:line="240" w:lineRule="auto"/>
            </w:pPr>
          </w:p>
        </w:tc>
      </w:tr>
      <w:tr w:rsidR="00AA2254" w14:paraId="66A6C51E" w14:textId="77777777" w:rsidTr="00351282">
        <w:trPr>
          <w:trHeight w:hRule="exact" w:val="1103"/>
        </w:trPr>
        <w:tc>
          <w:tcPr>
            <w:tcW w:w="1980" w:type="dxa"/>
            <w:shd w:val="clear" w:color="auto" w:fill="D9D9D9"/>
            <w:vAlign w:val="center"/>
          </w:tcPr>
          <w:p w14:paraId="7E484F5C" w14:textId="479F7087" w:rsidR="005F7375" w:rsidRDefault="005F7375" w:rsidP="008038B9">
            <w:pPr>
              <w:widowControl w:val="0"/>
              <w:spacing w:before="0" w:after="0" w:line="276" w:lineRule="auto"/>
            </w:pPr>
            <w:r w:rsidRPr="00A43385">
              <w:rPr>
                <w:b/>
              </w:rPr>
              <w:t>Name of communications provider</w:t>
            </w:r>
          </w:p>
        </w:tc>
        <w:tc>
          <w:tcPr>
            <w:tcW w:w="2977" w:type="dxa"/>
            <w:gridSpan w:val="2"/>
            <w:vAlign w:val="center"/>
          </w:tcPr>
          <w:p w14:paraId="371974E8" w14:textId="77777777" w:rsidR="005F7375" w:rsidRDefault="005F7375" w:rsidP="00426E66">
            <w:pPr>
              <w:widowControl w:val="0"/>
              <w:pBdr>
                <w:top w:val="nil"/>
                <w:left w:val="nil"/>
                <w:bottom w:val="nil"/>
                <w:right w:val="nil"/>
                <w:between w:val="nil"/>
              </w:pBdr>
              <w:spacing w:before="0" w:after="0" w:line="240" w:lineRule="auto"/>
            </w:pPr>
          </w:p>
        </w:tc>
      </w:tr>
      <w:tr w:rsidR="00AA2254" w14:paraId="4B14E9C4" w14:textId="77777777" w:rsidTr="00351282">
        <w:trPr>
          <w:trHeight w:hRule="exact" w:val="680"/>
        </w:trPr>
        <w:tc>
          <w:tcPr>
            <w:tcW w:w="1980" w:type="dxa"/>
            <w:shd w:val="clear" w:color="auto" w:fill="D9D9D9"/>
            <w:vAlign w:val="center"/>
          </w:tcPr>
          <w:p w14:paraId="373565D7" w14:textId="510223CC" w:rsidR="005F7375" w:rsidRDefault="005F7375" w:rsidP="008854F9">
            <w:pPr>
              <w:widowControl w:val="0"/>
              <w:spacing w:before="0" w:after="0" w:line="276" w:lineRule="auto"/>
            </w:pPr>
            <w:r w:rsidRPr="00A43385">
              <w:rPr>
                <w:b/>
              </w:rPr>
              <w:t>Date of agreement</w:t>
            </w:r>
          </w:p>
        </w:tc>
        <w:tc>
          <w:tcPr>
            <w:tcW w:w="2977" w:type="dxa"/>
            <w:gridSpan w:val="2"/>
            <w:vAlign w:val="center"/>
          </w:tcPr>
          <w:p w14:paraId="1690C652" w14:textId="77777777" w:rsidR="005F7375" w:rsidRDefault="005F7375" w:rsidP="00426E66">
            <w:pPr>
              <w:widowControl w:val="0"/>
              <w:spacing w:before="0" w:after="0" w:line="240" w:lineRule="auto"/>
            </w:pPr>
          </w:p>
        </w:tc>
      </w:tr>
    </w:tbl>
    <w:p w14:paraId="5818FA78" w14:textId="77777777" w:rsidR="00DB72EA" w:rsidRDefault="00DB72EA" w:rsidP="00CC5AE7">
      <w:pPr>
        <w:pStyle w:val="ListParagraph"/>
        <w:widowControl w:val="0"/>
        <w:tabs>
          <w:tab w:val="left" w:pos="4777"/>
          <w:tab w:val="left" w:pos="5662"/>
        </w:tabs>
        <w:spacing w:before="0" w:after="0" w:line="240" w:lineRule="auto"/>
        <w:ind w:left="0"/>
        <w:sectPr w:rsidR="00DB72EA" w:rsidSect="008B075F">
          <w:type w:val="continuous"/>
          <w:pgSz w:w="11900" w:h="16820"/>
          <w:pgMar w:top="425" w:right="1936" w:bottom="0" w:left="708" w:header="283" w:footer="283" w:gutter="0"/>
          <w:pgNumType w:start="1"/>
          <w:cols w:num="2" w:space="720"/>
        </w:sect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tblGrid>
      <w:tr w:rsidR="005F0036" w14:paraId="01C3AD6F" w14:textId="77777777" w:rsidTr="000C7DDC">
        <w:trPr>
          <w:trHeight w:hRule="exact" w:val="680"/>
        </w:trPr>
        <w:tc>
          <w:tcPr>
            <w:tcW w:w="1980" w:type="dxa"/>
            <w:shd w:val="clear" w:color="auto" w:fill="D9D9D9"/>
            <w:vAlign w:val="center"/>
          </w:tcPr>
          <w:p w14:paraId="3A7FB3F1" w14:textId="7490FBE4" w:rsidR="00DB72EA" w:rsidRDefault="00DB72EA" w:rsidP="008854F9">
            <w:pPr>
              <w:widowControl w:val="0"/>
              <w:spacing w:before="0" w:after="0" w:line="276" w:lineRule="auto"/>
            </w:pPr>
            <w:r w:rsidRPr="00A43385">
              <w:rPr>
                <w:b/>
              </w:rPr>
              <w:t>Name of signatory</w:t>
            </w:r>
          </w:p>
        </w:tc>
        <w:tc>
          <w:tcPr>
            <w:tcW w:w="2551" w:type="dxa"/>
            <w:vAlign w:val="center"/>
          </w:tcPr>
          <w:p w14:paraId="5026F64C" w14:textId="77777777" w:rsidR="00DB72EA" w:rsidRDefault="00DB72EA" w:rsidP="00426E66">
            <w:pPr>
              <w:widowControl w:val="0"/>
              <w:pBdr>
                <w:top w:val="nil"/>
                <w:left w:val="nil"/>
                <w:bottom w:val="nil"/>
                <w:right w:val="nil"/>
                <w:between w:val="nil"/>
              </w:pBdr>
              <w:spacing w:before="0" w:after="0" w:line="240" w:lineRule="auto"/>
            </w:pPr>
          </w:p>
        </w:tc>
      </w:tr>
      <w:tr w:rsidR="005F0036" w14:paraId="6EADDD70" w14:textId="77777777" w:rsidTr="000C7DDC">
        <w:trPr>
          <w:trHeight w:hRule="exact" w:val="680"/>
        </w:trPr>
        <w:tc>
          <w:tcPr>
            <w:tcW w:w="1980" w:type="dxa"/>
            <w:shd w:val="clear" w:color="auto" w:fill="D9D9D9"/>
            <w:vAlign w:val="center"/>
          </w:tcPr>
          <w:p w14:paraId="3DFDC6EE" w14:textId="0A902C03" w:rsidR="00DB72EA" w:rsidRDefault="00DB72EA" w:rsidP="008854F9">
            <w:pPr>
              <w:widowControl w:val="0"/>
              <w:spacing w:before="0" w:after="0" w:line="276" w:lineRule="auto"/>
            </w:pPr>
            <w:r w:rsidRPr="00A43385">
              <w:rPr>
                <w:b/>
              </w:rPr>
              <w:t>Date of agreement</w:t>
            </w:r>
          </w:p>
        </w:tc>
        <w:tc>
          <w:tcPr>
            <w:tcW w:w="2551" w:type="dxa"/>
            <w:vAlign w:val="center"/>
          </w:tcPr>
          <w:p w14:paraId="4BC56483" w14:textId="77777777" w:rsidR="00DB72EA" w:rsidRDefault="00DB72EA" w:rsidP="00426E66">
            <w:pPr>
              <w:widowControl w:val="0"/>
              <w:spacing w:before="0" w:after="0" w:line="240" w:lineRule="auto"/>
            </w:pPr>
          </w:p>
        </w:tc>
      </w:tr>
    </w:tbl>
    <w:p w14:paraId="1F150874" w14:textId="77777777" w:rsidR="00DB72EA" w:rsidRDefault="00DB72EA" w:rsidP="00DB72EA">
      <w:pPr>
        <w:pStyle w:val="ListParagraph"/>
        <w:widowControl w:val="0"/>
        <w:tabs>
          <w:tab w:val="left" w:pos="4777"/>
          <w:tab w:val="left" w:pos="5662"/>
        </w:tabs>
        <w:spacing w:before="0" w:after="0" w:line="240" w:lineRule="auto"/>
        <w:ind w:left="0"/>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tblGrid>
      <w:tr w:rsidR="00AA2254" w14:paraId="495CF58C" w14:textId="77777777" w:rsidTr="3D533CC1">
        <w:trPr>
          <w:trHeight w:hRule="exact" w:val="680"/>
        </w:trPr>
        <w:tc>
          <w:tcPr>
            <w:tcW w:w="1980" w:type="dxa"/>
            <w:shd w:val="clear" w:color="auto" w:fill="D9D9D9" w:themeFill="background1" w:themeFillShade="D9"/>
            <w:vAlign w:val="center"/>
          </w:tcPr>
          <w:p w14:paraId="520BAE89" w14:textId="358E7AED" w:rsidR="00DB72EA" w:rsidRDefault="00DB72EA" w:rsidP="008854F9">
            <w:pPr>
              <w:widowControl w:val="0"/>
              <w:spacing w:before="0" w:after="0" w:line="276" w:lineRule="auto"/>
            </w:pPr>
            <w:r w:rsidRPr="3D533CC1">
              <w:rPr>
                <w:b/>
                <w:bCs/>
              </w:rPr>
              <w:t xml:space="preserve">Name </w:t>
            </w:r>
            <w:r w:rsidR="008F7DAC" w:rsidRPr="3D533CC1">
              <w:rPr>
                <w:b/>
                <w:bCs/>
              </w:rPr>
              <w:t xml:space="preserve">of </w:t>
            </w:r>
            <w:r w:rsidR="1FFB3D91" w:rsidRPr="3D533CC1">
              <w:rPr>
                <w:b/>
                <w:bCs/>
              </w:rPr>
              <w:t>l</w:t>
            </w:r>
            <w:r w:rsidR="008F7DAC" w:rsidRPr="3D533CC1">
              <w:rPr>
                <w:b/>
                <w:bCs/>
              </w:rPr>
              <w:t xml:space="preserve">ocal </w:t>
            </w:r>
            <w:r w:rsidR="2B377302" w:rsidRPr="3D533CC1">
              <w:rPr>
                <w:b/>
                <w:bCs/>
              </w:rPr>
              <w:t>a</w:t>
            </w:r>
            <w:r w:rsidR="008F7DAC" w:rsidRPr="3D533CC1">
              <w:rPr>
                <w:b/>
                <w:bCs/>
              </w:rPr>
              <w:t>uthority</w:t>
            </w:r>
          </w:p>
        </w:tc>
        <w:tc>
          <w:tcPr>
            <w:tcW w:w="2977" w:type="dxa"/>
            <w:vAlign w:val="center"/>
          </w:tcPr>
          <w:p w14:paraId="2533A566" w14:textId="77777777" w:rsidR="00DB72EA" w:rsidRDefault="00DB72EA" w:rsidP="00426E66">
            <w:pPr>
              <w:widowControl w:val="0"/>
              <w:pBdr>
                <w:top w:val="nil"/>
                <w:left w:val="nil"/>
                <w:bottom w:val="nil"/>
                <w:right w:val="nil"/>
                <w:between w:val="nil"/>
              </w:pBdr>
              <w:spacing w:before="0" w:after="0" w:line="240" w:lineRule="auto"/>
            </w:pPr>
          </w:p>
        </w:tc>
      </w:tr>
      <w:tr w:rsidR="00AA2254" w14:paraId="62FDF736" w14:textId="77777777" w:rsidTr="3D533CC1">
        <w:trPr>
          <w:trHeight w:hRule="exact" w:val="680"/>
        </w:trPr>
        <w:tc>
          <w:tcPr>
            <w:tcW w:w="1980" w:type="dxa"/>
            <w:shd w:val="clear" w:color="auto" w:fill="D9D9D9" w:themeFill="background1" w:themeFillShade="D9"/>
            <w:vAlign w:val="center"/>
          </w:tcPr>
          <w:p w14:paraId="030EB6F6" w14:textId="6E961BE2" w:rsidR="00DB72EA" w:rsidRDefault="00DB72EA" w:rsidP="008854F9">
            <w:pPr>
              <w:widowControl w:val="0"/>
              <w:spacing w:before="0" w:after="0" w:line="276" w:lineRule="auto"/>
            </w:pPr>
            <w:r w:rsidRPr="00A43385">
              <w:rPr>
                <w:b/>
              </w:rPr>
              <w:t>Date of agreement</w:t>
            </w:r>
          </w:p>
        </w:tc>
        <w:tc>
          <w:tcPr>
            <w:tcW w:w="2977" w:type="dxa"/>
            <w:vAlign w:val="center"/>
          </w:tcPr>
          <w:p w14:paraId="668DA4F3" w14:textId="77777777" w:rsidR="00DB72EA" w:rsidRDefault="00DB72EA" w:rsidP="00426E66">
            <w:pPr>
              <w:widowControl w:val="0"/>
              <w:spacing w:before="0" w:after="0" w:line="240" w:lineRule="auto"/>
            </w:pPr>
          </w:p>
        </w:tc>
      </w:tr>
    </w:tbl>
    <w:p w14:paraId="73BFEC5F" w14:textId="77777777" w:rsidR="00DB72EA" w:rsidRDefault="00DB72EA" w:rsidP="00CC5AE7">
      <w:pPr>
        <w:pStyle w:val="ListParagraph"/>
        <w:widowControl w:val="0"/>
        <w:tabs>
          <w:tab w:val="left" w:pos="4777"/>
          <w:tab w:val="left" w:pos="5662"/>
        </w:tabs>
        <w:spacing w:before="0" w:after="0" w:line="240" w:lineRule="auto"/>
        <w:ind w:left="0"/>
        <w:sectPr w:rsidR="00DB72EA" w:rsidSect="008B075F">
          <w:type w:val="continuous"/>
          <w:pgSz w:w="11900" w:h="16820"/>
          <w:pgMar w:top="425" w:right="1936" w:bottom="0" w:left="708" w:header="283" w:footer="283" w:gutter="0"/>
          <w:pgNumType w:start="1"/>
          <w:cols w:num="2" w:space="720"/>
        </w:sectPr>
      </w:pPr>
    </w:p>
    <w:p w14:paraId="7EA2F79A" w14:textId="77777777" w:rsidR="005F7375" w:rsidRDefault="005F7375" w:rsidP="00CC5AE7">
      <w:pPr>
        <w:widowControl w:val="0"/>
        <w:spacing w:before="0" w:after="0" w:line="276" w:lineRule="auto"/>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390"/>
        <w:gridCol w:w="5528"/>
      </w:tblGrid>
      <w:tr w:rsidR="00517122" w14:paraId="26A72040" w14:textId="503C6799" w:rsidTr="33FB2828">
        <w:trPr>
          <w:trHeight w:hRule="exact" w:val="680"/>
        </w:trPr>
        <w:tc>
          <w:tcPr>
            <w:tcW w:w="4390" w:type="dxa"/>
            <w:shd w:val="clear" w:color="auto" w:fill="D9D9D9" w:themeFill="background1" w:themeFillShade="D9"/>
            <w:vAlign w:val="center"/>
          </w:tcPr>
          <w:p w14:paraId="39E1CDF6" w14:textId="5CA6F6F8" w:rsidR="00517122" w:rsidRDefault="00517122" w:rsidP="008854F9">
            <w:pPr>
              <w:widowControl w:val="0"/>
              <w:pBdr>
                <w:top w:val="nil"/>
                <w:left w:val="nil"/>
                <w:bottom w:val="nil"/>
                <w:right w:val="nil"/>
                <w:between w:val="nil"/>
              </w:pBdr>
              <w:spacing w:before="0" w:after="0" w:line="240" w:lineRule="auto"/>
            </w:pPr>
            <w:r w:rsidRPr="00A43385">
              <w:rPr>
                <w:b/>
              </w:rPr>
              <w:t>Publish date</w:t>
            </w:r>
          </w:p>
        </w:tc>
        <w:tc>
          <w:tcPr>
            <w:tcW w:w="5528" w:type="dxa"/>
            <w:vAlign w:val="center"/>
          </w:tcPr>
          <w:p w14:paraId="385F3CD7" w14:textId="77777777" w:rsidR="00517122" w:rsidRPr="008038B9" w:rsidRDefault="00517122" w:rsidP="00517122">
            <w:pPr>
              <w:widowControl w:val="0"/>
              <w:pBdr>
                <w:top w:val="nil"/>
                <w:left w:val="nil"/>
                <w:bottom w:val="nil"/>
                <w:right w:val="nil"/>
                <w:between w:val="nil"/>
              </w:pBdr>
              <w:spacing w:before="0" w:after="0" w:line="240" w:lineRule="auto"/>
            </w:pPr>
          </w:p>
        </w:tc>
      </w:tr>
      <w:tr w:rsidR="00517122" w14:paraId="5DA56CC6" w14:textId="77522053" w:rsidTr="33FB2828">
        <w:trPr>
          <w:trHeight w:hRule="exact" w:val="680"/>
        </w:trPr>
        <w:tc>
          <w:tcPr>
            <w:tcW w:w="4390" w:type="dxa"/>
            <w:shd w:val="clear" w:color="auto" w:fill="D9D9D9" w:themeFill="background1" w:themeFillShade="D9"/>
            <w:vAlign w:val="center"/>
          </w:tcPr>
          <w:p w14:paraId="748CEE78" w14:textId="3CB1C9C3" w:rsidR="00517122" w:rsidRDefault="00517122" w:rsidP="008854F9">
            <w:pPr>
              <w:widowControl w:val="0"/>
              <w:pBdr>
                <w:top w:val="nil"/>
                <w:left w:val="nil"/>
                <w:bottom w:val="nil"/>
                <w:right w:val="nil"/>
                <w:between w:val="nil"/>
              </w:pBdr>
              <w:spacing w:before="0" w:after="0" w:line="240" w:lineRule="auto"/>
            </w:pPr>
            <w:r w:rsidRPr="00A43385">
              <w:rPr>
                <w:b/>
              </w:rPr>
              <w:t>Review date</w:t>
            </w:r>
          </w:p>
        </w:tc>
        <w:tc>
          <w:tcPr>
            <w:tcW w:w="5528" w:type="dxa"/>
            <w:vAlign w:val="center"/>
          </w:tcPr>
          <w:p w14:paraId="24AF0B90" w14:textId="77777777" w:rsidR="00517122" w:rsidRPr="008038B9" w:rsidRDefault="00517122" w:rsidP="00517122">
            <w:pPr>
              <w:widowControl w:val="0"/>
              <w:spacing w:before="0" w:after="0" w:line="240" w:lineRule="auto"/>
            </w:pPr>
          </w:p>
        </w:tc>
      </w:tr>
      <w:tr w:rsidR="00517122" w14:paraId="0884CB60" w14:textId="2C93024B" w:rsidTr="33FB2828">
        <w:trPr>
          <w:trHeight w:hRule="exact" w:val="680"/>
        </w:trPr>
        <w:tc>
          <w:tcPr>
            <w:tcW w:w="4390" w:type="dxa"/>
            <w:shd w:val="clear" w:color="auto" w:fill="D9D9D9" w:themeFill="background1" w:themeFillShade="D9"/>
            <w:vAlign w:val="center"/>
          </w:tcPr>
          <w:p w14:paraId="2E4AD973" w14:textId="3C94CAFF" w:rsidR="00517122" w:rsidRDefault="00517122" w:rsidP="00517122">
            <w:pPr>
              <w:widowControl w:val="0"/>
              <w:spacing w:before="0" w:after="0" w:line="240" w:lineRule="auto"/>
            </w:pPr>
            <w:r w:rsidRPr="00517122">
              <w:rPr>
                <w:b/>
              </w:rPr>
              <w:t>Termination Date (N/A if ongoing)</w:t>
            </w:r>
          </w:p>
        </w:tc>
        <w:tc>
          <w:tcPr>
            <w:tcW w:w="5528" w:type="dxa"/>
            <w:vAlign w:val="center"/>
          </w:tcPr>
          <w:p w14:paraId="1ECBBE95" w14:textId="3F2B2F9E" w:rsidR="00517122" w:rsidRPr="008038B9" w:rsidRDefault="00517122" w:rsidP="008038B9">
            <w:pPr>
              <w:widowControl w:val="0"/>
              <w:pBdr>
                <w:top w:val="nil"/>
                <w:left w:val="nil"/>
                <w:bottom w:val="nil"/>
                <w:right w:val="nil"/>
                <w:between w:val="nil"/>
              </w:pBdr>
              <w:spacing w:before="0" w:after="0" w:line="240" w:lineRule="auto"/>
            </w:pPr>
            <w:r w:rsidRPr="008038B9">
              <w:rPr>
                <w:bCs/>
              </w:rPr>
              <w:t>Agreement will end when the CP confirms that the digital switchover is complete.</w:t>
            </w:r>
          </w:p>
        </w:tc>
      </w:tr>
    </w:tbl>
    <w:p w14:paraId="492F122D" w14:textId="1D1940FC" w:rsidR="00F62AE3" w:rsidRDefault="00F62AE3" w:rsidP="00CC5AE7">
      <w:pPr>
        <w:rPr>
          <w:b/>
          <w:color w:val="1F497D"/>
          <w:sz w:val="32"/>
          <w:szCs w:val="32"/>
        </w:rPr>
      </w:pPr>
    </w:p>
    <w:p w14:paraId="018D2B51" w14:textId="2947CEB7" w:rsidR="00A27AC2" w:rsidRDefault="00DB72EA" w:rsidP="00351282">
      <w:pPr>
        <w:rPr>
          <w:b/>
          <w:color w:val="1F497D"/>
          <w:sz w:val="32"/>
          <w:szCs w:val="32"/>
        </w:rPr>
      </w:pPr>
      <w:r>
        <w:rPr>
          <w:b/>
          <w:color w:val="1F497D"/>
          <w:sz w:val="32"/>
          <w:szCs w:val="32"/>
        </w:rPr>
        <w:br w:type="page"/>
      </w:r>
      <w:r w:rsidR="009C0578">
        <w:rPr>
          <w:b/>
          <w:color w:val="1F497D"/>
          <w:sz w:val="32"/>
          <w:szCs w:val="32"/>
        </w:rPr>
        <w:lastRenderedPageBreak/>
        <w:t>Contents</w:t>
      </w:r>
      <w:r w:rsidR="00637DE8">
        <w:rPr>
          <w:b/>
          <w:color w:val="1F497D"/>
          <w:sz w:val="32"/>
          <w:szCs w:val="32"/>
        </w:rPr>
        <w:tab/>
      </w:r>
    </w:p>
    <w:sdt>
      <w:sdtPr>
        <w:id w:val="874277640"/>
        <w:docPartObj>
          <w:docPartGallery w:val="Table of Contents"/>
          <w:docPartUnique/>
        </w:docPartObj>
      </w:sdtPr>
      <w:sdtContent>
        <w:p w14:paraId="301DB707" w14:textId="6F2B3D25" w:rsidR="00C90F00" w:rsidRDefault="009C0578">
          <w:pPr>
            <w:pStyle w:val="TOC1"/>
            <w:rPr>
              <w:rFonts w:asciiTheme="minorHAnsi" w:eastAsiaTheme="minorEastAsia" w:hAnsiTheme="minorHAnsi" w:cstheme="minorBidi"/>
              <w:noProof/>
              <w:kern w:val="2"/>
              <w:lang w:eastAsia="ja-JP"/>
              <w14:ligatures w14:val="standardContextual"/>
            </w:rPr>
          </w:pPr>
          <w:r w:rsidRPr="00CC5AE7">
            <w:fldChar w:fldCharType="begin"/>
          </w:r>
          <w:r w:rsidRPr="00CC5AE7">
            <w:instrText xml:space="preserve"> TOC \h \u \z \t "Heading 1,1,Heading 2,2,Heading 3,3,Heading 4,4,Heading 5,5,Heading 6,6,"</w:instrText>
          </w:r>
          <w:r w:rsidRPr="00CC5AE7">
            <w:fldChar w:fldCharType="separate"/>
          </w:r>
          <w:hyperlink w:anchor="_Toc168982215" w:history="1">
            <w:r w:rsidR="00C90F00" w:rsidRPr="006D0EE7">
              <w:rPr>
                <w:rStyle w:val="Hyperlink"/>
                <w:noProof/>
              </w:rPr>
              <w:t>Data Sharing Agreement - Digital Switchover Telecare Provision</w:t>
            </w:r>
            <w:r w:rsidR="00C90F00">
              <w:rPr>
                <w:noProof/>
                <w:webHidden/>
              </w:rPr>
              <w:tab/>
            </w:r>
            <w:r w:rsidR="00C90F00">
              <w:rPr>
                <w:noProof/>
                <w:webHidden/>
              </w:rPr>
              <w:fldChar w:fldCharType="begin"/>
            </w:r>
            <w:r w:rsidR="00C90F00">
              <w:rPr>
                <w:noProof/>
                <w:webHidden/>
              </w:rPr>
              <w:instrText xml:space="preserve"> PAGEREF _Toc168982215 \h </w:instrText>
            </w:r>
            <w:r w:rsidR="00C90F00">
              <w:rPr>
                <w:noProof/>
                <w:webHidden/>
              </w:rPr>
            </w:r>
            <w:r w:rsidR="00C90F00">
              <w:rPr>
                <w:noProof/>
                <w:webHidden/>
              </w:rPr>
              <w:fldChar w:fldCharType="separate"/>
            </w:r>
            <w:r w:rsidR="000E1E25">
              <w:rPr>
                <w:noProof/>
                <w:webHidden/>
              </w:rPr>
              <w:t>1</w:t>
            </w:r>
            <w:r w:rsidR="00C90F00">
              <w:rPr>
                <w:noProof/>
                <w:webHidden/>
              </w:rPr>
              <w:fldChar w:fldCharType="end"/>
            </w:r>
          </w:hyperlink>
        </w:p>
        <w:p w14:paraId="7F035324" w14:textId="51F6337F" w:rsidR="00C90F00" w:rsidRDefault="00000000">
          <w:pPr>
            <w:pStyle w:val="TOC2"/>
            <w:tabs>
              <w:tab w:val="right" w:pos="9246"/>
            </w:tabs>
            <w:rPr>
              <w:rFonts w:asciiTheme="minorHAnsi" w:eastAsiaTheme="minorEastAsia" w:hAnsiTheme="minorHAnsi" w:cstheme="minorBidi"/>
              <w:noProof/>
              <w:kern w:val="2"/>
              <w:lang w:eastAsia="ja-JP"/>
              <w14:ligatures w14:val="standardContextual"/>
            </w:rPr>
          </w:pPr>
          <w:hyperlink w:anchor="_Toc168982216" w:history="1">
            <w:r w:rsidR="00C90F00" w:rsidRPr="006D0EE7">
              <w:rPr>
                <w:rStyle w:val="Hyperlink"/>
                <w:noProof/>
              </w:rPr>
              <w:t>Summary of purpose</w:t>
            </w:r>
            <w:r w:rsidR="00C90F00">
              <w:rPr>
                <w:noProof/>
                <w:webHidden/>
              </w:rPr>
              <w:tab/>
            </w:r>
            <w:r w:rsidR="00C90F00">
              <w:rPr>
                <w:noProof/>
                <w:webHidden/>
              </w:rPr>
              <w:fldChar w:fldCharType="begin"/>
            </w:r>
            <w:r w:rsidR="00C90F00">
              <w:rPr>
                <w:noProof/>
                <w:webHidden/>
              </w:rPr>
              <w:instrText xml:space="preserve"> PAGEREF _Toc168982216 \h </w:instrText>
            </w:r>
            <w:r w:rsidR="00C90F00">
              <w:rPr>
                <w:noProof/>
                <w:webHidden/>
              </w:rPr>
            </w:r>
            <w:r w:rsidR="00C90F00">
              <w:rPr>
                <w:noProof/>
                <w:webHidden/>
              </w:rPr>
              <w:fldChar w:fldCharType="separate"/>
            </w:r>
            <w:r w:rsidR="000E1E25">
              <w:rPr>
                <w:noProof/>
                <w:webHidden/>
              </w:rPr>
              <w:t>1</w:t>
            </w:r>
            <w:r w:rsidR="00C90F00">
              <w:rPr>
                <w:noProof/>
                <w:webHidden/>
              </w:rPr>
              <w:fldChar w:fldCharType="end"/>
            </w:r>
          </w:hyperlink>
        </w:p>
        <w:p w14:paraId="3D9996D9" w14:textId="5E707C6D" w:rsidR="00C90F00" w:rsidRDefault="00000000">
          <w:pPr>
            <w:pStyle w:val="TOC2"/>
            <w:tabs>
              <w:tab w:val="right" w:pos="9246"/>
            </w:tabs>
            <w:rPr>
              <w:rFonts w:asciiTheme="minorHAnsi" w:eastAsiaTheme="minorEastAsia" w:hAnsiTheme="minorHAnsi" w:cstheme="minorBidi"/>
              <w:noProof/>
              <w:kern w:val="2"/>
              <w:lang w:eastAsia="ja-JP"/>
              <w14:ligatures w14:val="standardContextual"/>
            </w:rPr>
          </w:pPr>
          <w:hyperlink w:anchor="_Toc168982217" w:history="1">
            <w:r w:rsidR="00C90F00" w:rsidRPr="006D0EE7">
              <w:rPr>
                <w:rStyle w:val="Hyperlink"/>
                <w:noProof/>
              </w:rPr>
              <w:t>Parties</w:t>
            </w:r>
            <w:r w:rsidR="00C90F00">
              <w:rPr>
                <w:noProof/>
                <w:webHidden/>
              </w:rPr>
              <w:tab/>
            </w:r>
            <w:r w:rsidR="00C90F00">
              <w:rPr>
                <w:noProof/>
                <w:webHidden/>
              </w:rPr>
              <w:fldChar w:fldCharType="begin"/>
            </w:r>
            <w:r w:rsidR="00C90F00">
              <w:rPr>
                <w:noProof/>
                <w:webHidden/>
              </w:rPr>
              <w:instrText xml:space="preserve"> PAGEREF _Toc168982217 \h </w:instrText>
            </w:r>
            <w:r w:rsidR="00C90F00">
              <w:rPr>
                <w:noProof/>
                <w:webHidden/>
              </w:rPr>
            </w:r>
            <w:r w:rsidR="00C90F00">
              <w:rPr>
                <w:noProof/>
                <w:webHidden/>
              </w:rPr>
              <w:fldChar w:fldCharType="separate"/>
            </w:r>
            <w:r w:rsidR="000E1E25">
              <w:rPr>
                <w:noProof/>
                <w:webHidden/>
              </w:rPr>
              <w:t>1</w:t>
            </w:r>
            <w:r w:rsidR="00C90F00">
              <w:rPr>
                <w:noProof/>
                <w:webHidden/>
              </w:rPr>
              <w:fldChar w:fldCharType="end"/>
            </w:r>
          </w:hyperlink>
        </w:p>
        <w:p w14:paraId="483CC598" w14:textId="429E1236" w:rsidR="00C90F00" w:rsidRDefault="00000000">
          <w:pPr>
            <w:pStyle w:val="TOC2"/>
            <w:tabs>
              <w:tab w:val="right" w:pos="9246"/>
            </w:tabs>
            <w:rPr>
              <w:rFonts w:asciiTheme="minorHAnsi" w:eastAsiaTheme="minorEastAsia" w:hAnsiTheme="minorHAnsi" w:cstheme="minorBidi"/>
              <w:noProof/>
              <w:kern w:val="2"/>
              <w:lang w:eastAsia="ja-JP"/>
              <w14:ligatures w14:val="standardContextual"/>
            </w:rPr>
          </w:pPr>
          <w:hyperlink w:anchor="_Toc168982218" w:history="1">
            <w:r w:rsidR="00C90F00" w:rsidRPr="006D0EE7">
              <w:rPr>
                <w:rStyle w:val="Hyperlink"/>
                <w:noProof/>
              </w:rPr>
              <w:t>Part 2 processing</w:t>
            </w:r>
            <w:r w:rsidR="00C90F00">
              <w:rPr>
                <w:noProof/>
                <w:webHidden/>
              </w:rPr>
              <w:tab/>
            </w:r>
            <w:r w:rsidR="00C90F00">
              <w:rPr>
                <w:noProof/>
                <w:webHidden/>
              </w:rPr>
              <w:fldChar w:fldCharType="begin"/>
            </w:r>
            <w:r w:rsidR="00C90F00">
              <w:rPr>
                <w:noProof/>
                <w:webHidden/>
              </w:rPr>
              <w:instrText xml:space="preserve"> PAGEREF _Toc168982218 \h </w:instrText>
            </w:r>
            <w:r w:rsidR="00C90F00">
              <w:rPr>
                <w:noProof/>
                <w:webHidden/>
              </w:rPr>
            </w:r>
            <w:r w:rsidR="00C90F00">
              <w:rPr>
                <w:noProof/>
                <w:webHidden/>
              </w:rPr>
              <w:fldChar w:fldCharType="separate"/>
            </w:r>
            <w:r w:rsidR="000E1E25">
              <w:rPr>
                <w:noProof/>
                <w:webHidden/>
              </w:rPr>
              <w:t>1</w:t>
            </w:r>
            <w:r w:rsidR="00C90F00">
              <w:rPr>
                <w:noProof/>
                <w:webHidden/>
              </w:rPr>
              <w:fldChar w:fldCharType="end"/>
            </w:r>
          </w:hyperlink>
        </w:p>
        <w:p w14:paraId="5E752BFD" w14:textId="48921A9E" w:rsidR="00C90F00" w:rsidRDefault="00000000">
          <w:pPr>
            <w:pStyle w:val="TOC2"/>
            <w:tabs>
              <w:tab w:val="right" w:pos="9246"/>
            </w:tabs>
            <w:rPr>
              <w:rFonts w:asciiTheme="minorHAnsi" w:eastAsiaTheme="minorEastAsia" w:hAnsiTheme="minorHAnsi" w:cstheme="minorBidi"/>
              <w:noProof/>
              <w:kern w:val="2"/>
              <w:lang w:eastAsia="ja-JP"/>
              <w14:ligatures w14:val="standardContextual"/>
            </w:rPr>
          </w:pPr>
          <w:hyperlink w:anchor="_Toc168982219" w:history="1">
            <w:r w:rsidR="00C90F00" w:rsidRPr="006D0EE7">
              <w:rPr>
                <w:rStyle w:val="Hyperlink"/>
                <w:noProof/>
              </w:rPr>
              <w:t>Key legislation</w:t>
            </w:r>
            <w:r w:rsidR="00C90F00">
              <w:rPr>
                <w:noProof/>
                <w:webHidden/>
              </w:rPr>
              <w:tab/>
            </w:r>
            <w:r w:rsidR="00C90F00">
              <w:rPr>
                <w:noProof/>
                <w:webHidden/>
              </w:rPr>
              <w:fldChar w:fldCharType="begin"/>
            </w:r>
            <w:r w:rsidR="00C90F00">
              <w:rPr>
                <w:noProof/>
                <w:webHidden/>
              </w:rPr>
              <w:instrText xml:space="preserve"> PAGEREF _Toc168982219 \h </w:instrText>
            </w:r>
            <w:r w:rsidR="00C90F00">
              <w:rPr>
                <w:noProof/>
                <w:webHidden/>
              </w:rPr>
            </w:r>
            <w:r w:rsidR="00C90F00">
              <w:rPr>
                <w:noProof/>
                <w:webHidden/>
              </w:rPr>
              <w:fldChar w:fldCharType="separate"/>
            </w:r>
            <w:r w:rsidR="000E1E25">
              <w:rPr>
                <w:noProof/>
                <w:webHidden/>
              </w:rPr>
              <w:t>1</w:t>
            </w:r>
            <w:r w:rsidR="00C90F00">
              <w:rPr>
                <w:noProof/>
                <w:webHidden/>
              </w:rPr>
              <w:fldChar w:fldCharType="end"/>
            </w:r>
          </w:hyperlink>
        </w:p>
        <w:p w14:paraId="50256599" w14:textId="79EB40FF" w:rsidR="00C90F00" w:rsidRDefault="00000000">
          <w:pPr>
            <w:pStyle w:val="TOC1"/>
            <w:rPr>
              <w:rFonts w:asciiTheme="minorHAnsi" w:eastAsiaTheme="minorEastAsia" w:hAnsiTheme="minorHAnsi" w:cstheme="minorBidi"/>
              <w:noProof/>
              <w:kern w:val="2"/>
              <w:lang w:eastAsia="ja-JP"/>
              <w14:ligatures w14:val="standardContextual"/>
            </w:rPr>
          </w:pPr>
          <w:hyperlink w:anchor="_Toc168982220" w:history="1">
            <w:r w:rsidR="00C90F00" w:rsidRPr="006D0EE7">
              <w:rPr>
                <w:rStyle w:val="Hyperlink"/>
                <w:noProof/>
              </w:rPr>
              <w:t>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The Data Sharing Agreement</w:t>
            </w:r>
            <w:r w:rsidR="00C90F00">
              <w:rPr>
                <w:noProof/>
                <w:webHidden/>
              </w:rPr>
              <w:tab/>
            </w:r>
            <w:r w:rsidR="00C90F00">
              <w:rPr>
                <w:noProof/>
                <w:webHidden/>
              </w:rPr>
              <w:fldChar w:fldCharType="begin"/>
            </w:r>
            <w:r w:rsidR="00C90F00">
              <w:rPr>
                <w:noProof/>
                <w:webHidden/>
              </w:rPr>
              <w:instrText xml:space="preserve"> PAGEREF _Toc168982220 \h </w:instrText>
            </w:r>
            <w:r w:rsidR="00C90F00">
              <w:rPr>
                <w:noProof/>
                <w:webHidden/>
              </w:rPr>
            </w:r>
            <w:r w:rsidR="00C90F00">
              <w:rPr>
                <w:noProof/>
                <w:webHidden/>
              </w:rPr>
              <w:fldChar w:fldCharType="separate"/>
            </w:r>
            <w:r w:rsidR="000E1E25">
              <w:rPr>
                <w:noProof/>
                <w:webHidden/>
              </w:rPr>
              <w:t>5</w:t>
            </w:r>
            <w:r w:rsidR="00C90F00">
              <w:rPr>
                <w:noProof/>
                <w:webHidden/>
              </w:rPr>
              <w:fldChar w:fldCharType="end"/>
            </w:r>
          </w:hyperlink>
        </w:p>
        <w:p w14:paraId="45B76C82" w14:textId="04F0CECF"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1" w:history="1">
            <w:r w:rsidR="00C90F00" w:rsidRPr="006D0EE7">
              <w:rPr>
                <w:rStyle w:val="Hyperlink"/>
                <w:noProof/>
              </w:rPr>
              <w:t>1.1.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Ownership of this agreement</w:t>
            </w:r>
            <w:r w:rsidR="00C90F00">
              <w:rPr>
                <w:noProof/>
                <w:webHidden/>
              </w:rPr>
              <w:tab/>
            </w:r>
            <w:r w:rsidR="00C90F00">
              <w:rPr>
                <w:noProof/>
                <w:webHidden/>
              </w:rPr>
              <w:fldChar w:fldCharType="begin"/>
            </w:r>
            <w:r w:rsidR="00C90F00">
              <w:rPr>
                <w:noProof/>
                <w:webHidden/>
              </w:rPr>
              <w:instrText xml:space="preserve"> PAGEREF _Toc168982221 \h </w:instrText>
            </w:r>
            <w:r w:rsidR="00C90F00">
              <w:rPr>
                <w:noProof/>
                <w:webHidden/>
              </w:rPr>
            </w:r>
            <w:r w:rsidR="00C90F00">
              <w:rPr>
                <w:noProof/>
                <w:webHidden/>
              </w:rPr>
              <w:fldChar w:fldCharType="separate"/>
            </w:r>
            <w:r w:rsidR="000E1E25">
              <w:rPr>
                <w:noProof/>
                <w:webHidden/>
              </w:rPr>
              <w:t>5</w:t>
            </w:r>
            <w:r w:rsidR="00C90F00">
              <w:rPr>
                <w:noProof/>
                <w:webHidden/>
              </w:rPr>
              <w:fldChar w:fldCharType="end"/>
            </w:r>
          </w:hyperlink>
        </w:p>
        <w:p w14:paraId="28CA8D79" w14:textId="63650AF3"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2" w:history="1">
            <w:r w:rsidR="00C90F00" w:rsidRPr="006D0EE7">
              <w:rPr>
                <w:rStyle w:val="Hyperlink"/>
                <w:noProof/>
              </w:rPr>
              <w:t>1.2.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Parties to this agreement</w:t>
            </w:r>
            <w:r w:rsidR="00C90F00">
              <w:rPr>
                <w:noProof/>
                <w:webHidden/>
              </w:rPr>
              <w:tab/>
            </w:r>
            <w:r w:rsidR="00C90F00">
              <w:rPr>
                <w:noProof/>
                <w:webHidden/>
              </w:rPr>
              <w:fldChar w:fldCharType="begin"/>
            </w:r>
            <w:r w:rsidR="00C90F00">
              <w:rPr>
                <w:noProof/>
                <w:webHidden/>
              </w:rPr>
              <w:instrText xml:space="preserve"> PAGEREF _Toc168982222 \h </w:instrText>
            </w:r>
            <w:r w:rsidR="00C90F00">
              <w:rPr>
                <w:noProof/>
                <w:webHidden/>
              </w:rPr>
            </w:r>
            <w:r w:rsidR="00C90F00">
              <w:rPr>
                <w:noProof/>
                <w:webHidden/>
              </w:rPr>
              <w:fldChar w:fldCharType="separate"/>
            </w:r>
            <w:r w:rsidR="000E1E25">
              <w:rPr>
                <w:noProof/>
                <w:webHidden/>
              </w:rPr>
              <w:t>5</w:t>
            </w:r>
            <w:r w:rsidR="00C90F00">
              <w:rPr>
                <w:noProof/>
                <w:webHidden/>
              </w:rPr>
              <w:fldChar w:fldCharType="end"/>
            </w:r>
          </w:hyperlink>
        </w:p>
        <w:p w14:paraId="7DA2110D" w14:textId="16A8835E"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3" w:history="1">
            <w:r w:rsidR="00C90F00" w:rsidRPr="006D0EE7">
              <w:rPr>
                <w:rStyle w:val="Hyperlink"/>
                <w:noProof/>
              </w:rPr>
              <w:t>1.3.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Responsibilities of parties involved</w:t>
            </w:r>
            <w:r w:rsidR="00C90F00">
              <w:rPr>
                <w:noProof/>
                <w:webHidden/>
              </w:rPr>
              <w:tab/>
            </w:r>
            <w:r w:rsidR="00C90F00">
              <w:rPr>
                <w:noProof/>
                <w:webHidden/>
              </w:rPr>
              <w:fldChar w:fldCharType="begin"/>
            </w:r>
            <w:r w:rsidR="00C90F00">
              <w:rPr>
                <w:noProof/>
                <w:webHidden/>
              </w:rPr>
              <w:instrText xml:space="preserve"> PAGEREF _Toc168982223 \h </w:instrText>
            </w:r>
            <w:r w:rsidR="00C90F00">
              <w:rPr>
                <w:noProof/>
                <w:webHidden/>
              </w:rPr>
            </w:r>
            <w:r w:rsidR="00C90F00">
              <w:rPr>
                <w:noProof/>
                <w:webHidden/>
              </w:rPr>
              <w:fldChar w:fldCharType="separate"/>
            </w:r>
            <w:r w:rsidR="000E1E25">
              <w:rPr>
                <w:noProof/>
                <w:webHidden/>
              </w:rPr>
              <w:t>5</w:t>
            </w:r>
            <w:r w:rsidR="00C90F00">
              <w:rPr>
                <w:noProof/>
                <w:webHidden/>
              </w:rPr>
              <w:fldChar w:fldCharType="end"/>
            </w:r>
          </w:hyperlink>
        </w:p>
        <w:p w14:paraId="4D752578" w14:textId="123FCC2F"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4" w:history="1">
            <w:r w:rsidR="00C90F00" w:rsidRPr="006D0EE7">
              <w:rPr>
                <w:rStyle w:val="Hyperlink"/>
                <w:noProof/>
              </w:rPr>
              <w:t>1.4.</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Review and termination</w:t>
            </w:r>
            <w:r w:rsidR="00C90F00">
              <w:rPr>
                <w:noProof/>
                <w:webHidden/>
              </w:rPr>
              <w:tab/>
            </w:r>
            <w:r w:rsidR="00C90F00">
              <w:rPr>
                <w:noProof/>
                <w:webHidden/>
              </w:rPr>
              <w:fldChar w:fldCharType="begin"/>
            </w:r>
            <w:r w:rsidR="00C90F00">
              <w:rPr>
                <w:noProof/>
                <w:webHidden/>
              </w:rPr>
              <w:instrText xml:space="preserve"> PAGEREF _Toc168982224 \h </w:instrText>
            </w:r>
            <w:r w:rsidR="00C90F00">
              <w:rPr>
                <w:noProof/>
                <w:webHidden/>
              </w:rPr>
            </w:r>
            <w:r w:rsidR="00C90F00">
              <w:rPr>
                <w:noProof/>
                <w:webHidden/>
              </w:rPr>
              <w:fldChar w:fldCharType="separate"/>
            </w:r>
            <w:r w:rsidR="000E1E25">
              <w:rPr>
                <w:noProof/>
                <w:webHidden/>
              </w:rPr>
              <w:t>5</w:t>
            </w:r>
            <w:r w:rsidR="00C90F00">
              <w:rPr>
                <w:noProof/>
                <w:webHidden/>
              </w:rPr>
              <w:fldChar w:fldCharType="end"/>
            </w:r>
          </w:hyperlink>
        </w:p>
        <w:p w14:paraId="222B4F47" w14:textId="42418328" w:rsidR="00C90F00" w:rsidRDefault="00000000">
          <w:pPr>
            <w:pStyle w:val="TOC1"/>
            <w:rPr>
              <w:rFonts w:asciiTheme="minorHAnsi" w:eastAsiaTheme="minorEastAsia" w:hAnsiTheme="minorHAnsi" w:cstheme="minorBidi"/>
              <w:noProof/>
              <w:kern w:val="2"/>
              <w:lang w:eastAsia="ja-JP"/>
              <w14:ligatures w14:val="standardContextual"/>
            </w:rPr>
          </w:pPr>
          <w:hyperlink w:anchor="_Toc168982225" w:history="1">
            <w:r w:rsidR="00C90F00" w:rsidRPr="006D0EE7">
              <w:rPr>
                <w:rStyle w:val="Hyperlink"/>
                <w:noProof/>
              </w:rPr>
              <w:t>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Purpose and Benefits</w:t>
            </w:r>
            <w:r w:rsidR="00C90F00">
              <w:rPr>
                <w:noProof/>
                <w:webHidden/>
              </w:rPr>
              <w:tab/>
            </w:r>
            <w:r w:rsidR="00C90F00">
              <w:rPr>
                <w:noProof/>
                <w:webHidden/>
              </w:rPr>
              <w:fldChar w:fldCharType="begin"/>
            </w:r>
            <w:r w:rsidR="00C90F00">
              <w:rPr>
                <w:noProof/>
                <w:webHidden/>
              </w:rPr>
              <w:instrText xml:space="preserve"> PAGEREF _Toc168982225 \h </w:instrText>
            </w:r>
            <w:r w:rsidR="00C90F00">
              <w:rPr>
                <w:noProof/>
                <w:webHidden/>
              </w:rPr>
            </w:r>
            <w:r w:rsidR="00C90F00">
              <w:rPr>
                <w:noProof/>
                <w:webHidden/>
              </w:rPr>
              <w:fldChar w:fldCharType="separate"/>
            </w:r>
            <w:r w:rsidR="000E1E25">
              <w:rPr>
                <w:noProof/>
                <w:webHidden/>
              </w:rPr>
              <w:t>6</w:t>
            </w:r>
            <w:r w:rsidR="00C90F00">
              <w:rPr>
                <w:noProof/>
                <w:webHidden/>
              </w:rPr>
              <w:fldChar w:fldCharType="end"/>
            </w:r>
          </w:hyperlink>
        </w:p>
        <w:p w14:paraId="728D12BC" w14:textId="47DD81AC"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6" w:history="1">
            <w:r w:rsidR="00C90F00" w:rsidRPr="006D0EE7">
              <w:rPr>
                <w:rStyle w:val="Hyperlink"/>
                <w:noProof/>
              </w:rPr>
              <w:t>2.1.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Purpose</w:t>
            </w:r>
            <w:r w:rsidR="00C90F00">
              <w:rPr>
                <w:noProof/>
                <w:webHidden/>
              </w:rPr>
              <w:tab/>
            </w:r>
            <w:r w:rsidR="00C90F00">
              <w:rPr>
                <w:noProof/>
                <w:webHidden/>
              </w:rPr>
              <w:fldChar w:fldCharType="begin"/>
            </w:r>
            <w:r w:rsidR="00C90F00">
              <w:rPr>
                <w:noProof/>
                <w:webHidden/>
              </w:rPr>
              <w:instrText xml:space="preserve"> PAGEREF _Toc168982226 \h </w:instrText>
            </w:r>
            <w:r w:rsidR="00C90F00">
              <w:rPr>
                <w:noProof/>
                <w:webHidden/>
              </w:rPr>
            </w:r>
            <w:r w:rsidR="00C90F00">
              <w:rPr>
                <w:noProof/>
                <w:webHidden/>
              </w:rPr>
              <w:fldChar w:fldCharType="separate"/>
            </w:r>
            <w:r w:rsidR="000E1E25">
              <w:rPr>
                <w:noProof/>
                <w:webHidden/>
              </w:rPr>
              <w:t>6</w:t>
            </w:r>
            <w:r w:rsidR="00C90F00">
              <w:rPr>
                <w:noProof/>
                <w:webHidden/>
              </w:rPr>
              <w:fldChar w:fldCharType="end"/>
            </w:r>
          </w:hyperlink>
        </w:p>
        <w:p w14:paraId="29149C20" w14:textId="08DAAEBE"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27" w:history="1">
            <w:r w:rsidR="00C90F00" w:rsidRPr="006D0EE7">
              <w:rPr>
                <w:rStyle w:val="Hyperlink"/>
                <w:noProof/>
              </w:rPr>
              <w:t>Background</w:t>
            </w:r>
            <w:r w:rsidR="00C90F00">
              <w:rPr>
                <w:noProof/>
                <w:webHidden/>
              </w:rPr>
              <w:tab/>
            </w:r>
            <w:r w:rsidR="00C90F00">
              <w:rPr>
                <w:noProof/>
                <w:webHidden/>
              </w:rPr>
              <w:fldChar w:fldCharType="begin"/>
            </w:r>
            <w:r w:rsidR="00C90F00">
              <w:rPr>
                <w:noProof/>
                <w:webHidden/>
              </w:rPr>
              <w:instrText xml:space="preserve"> PAGEREF _Toc168982227 \h </w:instrText>
            </w:r>
            <w:r w:rsidR="00C90F00">
              <w:rPr>
                <w:noProof/>
                <w:webHidden/>
              </w:rPr>
            </w:r>
            <w:r w:rsidR="00C90F00">
              <w:rPr>
                <w:noProof/>
                <w:webHidden/>
              </w:rPr>
              <w:fldChar w:fldCharType="separate"/>
            </w:r>
            <w:r w:rsidR="000E1E25">
              <w:rPr>
                <w:noProof/>
                <w:webHidden/>
              </w:rPr>
              <w:t>6</w:t>
            </w:r>
            <w:r w:rsidR="00C90F00">
              <w:rPr>
                <w:noProof/>
                <w:webHidden/>
              </w:rPr>
              <w:fldChar w:fldCharType="end"/>
            </w:r>
          </w:hyperlink>
        </w:p>
        <w:p w14:paraId="16B64BC6" w14:textId="34CD70FC"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28" w:history="1">
            <w:r w:rsidR="00C90F00" w:rsidRPr="006D0EE7">
              <w:rPr>
                <w:rStyle w:val="Hyperlink"/>
                <w:noProof/>
              </w:rPr>
              <w:t>Purpose</w:t>
            </w:r>
            <w:r w:rsidR="00C90F00">
              <w:rPr>
                <w:noProof/>
                <w:webHidden/>
              </w:rPr>
              <w:tab/>
            </w:r>
            <w:r w:rsidR="00C90F00">
              <w:rPr>
                <w:noProof/>
                <w:webHidden/>
              </w:rPr>
              <w:fldChar w:fldCharType="begin"/>
            </w:r>
            <w:r w:rsidR="00C90F00">
              <w:rPr>
                <w:noProof/>
                <w:webHidden/>
              </w:rPr>
              <w:instrText xml:space="preserve"> PAGEREF _Toc168982228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6A859DBB" w14:textId="2E68C0AC"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29" w:history="1">
            <w:r w:rsidR="00C90F00" w:rsidRPr="006D0EE7">
              <w:rPr>
                <w:rStyle w:val="Hyperlink"/>
                <w:noProof/>
              </w:rPr>
              <w:t>2.2.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Benefits</w:t>
            </w:r>
            <w:r w:rsidR="00C90F00">
              <w:rPr>
                <w:noProof/>
                <w:webHidden/>
              </w:rPr>
              <w:tab/>
            </w:r>
            <w:r w:rsidR="00C90F00">
              <w:rPr>
                <w:noProof/>
                <w:webHidden/>
              </w:rPr>
              <w:fldChar w:fldCharType="begin"/>
            </w:r>
            <w:r w:rsidR="00C90F00">
              <w:rPr>
                <w:noProof/>
                <w:webHidden/>
              </w:rPr>
              <w:instrText xml:space="preserve"> PAGEREF _Toc168982229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2300EE9E" w14:textId="64EBD9AE"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30" w:history="1">
            <w:r w:rsidR="00C90F00" w:rsidRPr="006D0EE7">
              <w:rPr>
                <w:rStyle w:val="Hyperlink"/>
                <w:noProof/>
              </w:rPr>
              <w:t>Individuals</w:t>
            </w:r>
            <w:r w:rsidR="00C90F00">
              <w:rPr>
                <w:noProof/>
                <w:webHidden/>
              </w:rPr>
              <w:tab/>
            </w:r>
            <w:r w:rsidR="00C90F00">
              <w:rPr>
                <w:noProof/>
                <w:webHidden/>
              </w:rPr>
              <w:fldChar w:fldCharType="begin"/>
            </w:r>
            <w:r w:rsidR="00C90F00">
              <w:rPr>
                <w:noProof/>
                <w:webHidden/>
              </w:rPr>
              <w:instrText xml:space="preserve"> PAGEREF _Toc168982230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75CEFB83" w14:textId="394E8D86"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31" w:history="1">
            <w:r w:rsidR="00C90F00" w:rsidRPr="006D0EE7">
              <w:rPr>
                <w:rStyle w:val="Hyperlink"/>
                <w:noProof/>
              </w:rPr>
              <w:t xml:space="preserve">Parties </w:t>
            </w:r>
            <w:r w:rsidR="00C90F00" w:rsidRPr="006D0EE7">
              <w:rPr>
                <w:rStyle w:val="Hyperlink"/>
                <w:bCs/>
                <w:noProof/>
              </w:rPr>
              <w:t>(name the relevant party and the benefit)</w:t>
            </w:r>
            <w:r w:rsidR="00C90F00">
              <w:rPr>
                <w:noProof/>
                <w:webHidden/>
              </w:rPr>
              <w:tab/>
            </w:r>
            <w:r w:rsidR="00C90F00">
              <w:rPr>
                <w:noProof/>
                <w:webHidden/>
              </w:rPr>
              <w:fldChar w:fldCharType="begin"/>
            </w:r>
            <w:r w:rsidR="00C90F00">
              <w:rPr>
                <w:noProof/>
                <w:webHidden/>
              </w:rPr>
              <w:instrText xml:space="preserve"> PAGEREF _Toc168982231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2093C1CF" w14:textId="2C6E3554" w:rsidR="00C90F00" w:rsidRDefault="00000000">
          <w:pPr>
            <w:pStyle w:val="TOC4"/>
            <w:tabs>
              <w:tab w:val="right" w:pos="9246"/>
            </w:tabs>
            <w:rPr>
              <w:rFonts w:asciiTheme="minorHAnsi" w:eastAsiaTheme="minorEastAsia" w:hAnsiTheme="minorHAnsi" w:cstheme="minorBidi"/>
              <w:noProof/>
              <w:kern w:val="2"/>
              <w:lang w:eastAsia="ja-JP"/>
              <w14:ligatures w14:val="standardContextual"/>
            </w:rPr>
          </w:pPr>
          <w:hyperlink w:anchor="_Toc168982232" w:history="1">
            <w:r w:rsidR="00C90F00" w:rsidRPr="006D0EE7">
              <w:rPr>
                <w:rStyle w:val="Hyperlink"/>
                <w:noProof/>
              </w:rPr>
              <w:t>Communications provider</w:t>
            </w:r>
            <w:r w:rsidR="00C90F00">
              <w:rPr>
                <w:noProof/>
                <w:webHidden/>
              </w:rPr>
              <w:tab/>
            </w:r>
            <w:r w:rsidR="00C90F00">
              <w:rPr>
                <w:noProof/>
                <w:webHidden/>
              </w:rPr>
              <w:fldChar w:fldCharType="begin"/>
            </w:r>
            <w:r w:rsidR="00C90F00">
              <w:rPr>
                <w:noProof/>
                <w:webHidden/>
              </w:rPr>
              <w:instrText xml:space="preserve"> PAGEREF _Toc168982232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5F7EE75B" w14:textId="6DB5E442" w:rsidR="00C90F00" w:rsidRDefault="00000000">
          <w:pPr>
            <w:pStyle w:val="TOC4"/>
            <w:tabs>
              <w:tab w:val="right" w:pos="9246"/>
            </w:tabs>
            <w:rPr>
              <w:rFonts w:asciiTheme="minorHAnsi" w:eastAsiaTheme="minorEastAsia" w:hAnsiTheme="minorHAnsi" w:cstheme="minorBidi"/>
              <w:noProof/>
              <w:kern w:val="2"/>
              <w:lang w:eastAsia="ja-JP"/>
              <w14:ligatures w14:val="standardContextual"/>
            </w:rPr>
          </w:pPr>
          <w:hyperlink w:anchor="_Toc168982233" w:history="1">
            <w:r w:rsidR="00C90F00" w:rsidRPr="006D0EE7">
              <w:rPr>
                <w:rStyle w:val="Hyperlink"/>
                <w:noProof/>
              </w:rPr>
              <w:t>Local authority</w:t>
            </w:r>
            <w:r w:rsidR="00C90F00">
              <w:rPr>
                <w:noProof/>
                <w:webHidden/>
              </w:rPr>
              <w:tab/>
            </w:r>
            <w:r w:rsidR="00C90F00">
              <w:rPr>
                <w:noProof/>
                <w:webHidden/>
              </w:rPr>
              <w:fldChar w:fldCharType="begin"/>
            </w:r>
            <w:r w:rsidR="00C90F00">
              <w:rPr>
                <w:noProof/>
                <w:webHidden/>
              </w:rPr>
              <w:instrText xml:space="preserve"> PAGEREF _Toc168982233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227E8100" w14:textId="39CAB33B" w:rsidR="00C90F00" w:rsidRDefault="00000000">
          <w:pPr>
            <w:pStyle w:val="TOC4"/>
            <w:tabs>
              <w:tab w:val="right" w:pos="9246"/>
            </w:tabs>
            <w:rPr>
              <w:rFonts w:asciiTheme="minorHAnsi" w:eastAsiaTheme="minorEastAsia" w:hAnsiTheme="minorHAnsi" w:cstheme="minorBidi"/>
              <w:noProof/>
              <w:kern w:val="2"/>
              <w:lang w:eastAsia="ja-JP"/>
              <w14:ligatures w14:val="standardContextual"/>
            </w:rPr>
          </w:pPr>
          <w:hyperlink w:anchor="_Toc168982234" w:history="1">
            <w:r w:rsidR="00C90F00" w:rsidRPr="006D0EE7">
              <w:rPr>
                <w:rStyle w:val="Hyperlink"/>
                <w:noProof/>
              </w:rPr>
              <w:t>Society</w:t>
            </w:r>
            <w:r w:rsidR="00C90F00">
              <w:rPr>
                <w:noProof/>
                <w:webHidden/>
              </w:rPr>
              <w:tab/>
            </w:r>
            <w:r w:rsidR="00C90F00">
              <w:rPr>
                <w:noProof/>
                <w:webHidden/>
              </w:rPr>
              <w:fldChar w:fldCharType="begin"/>
            </w:r>
            <w:r w:rsidR="00C90F00">
              <w:rPr>
                <w:noProof/>
                <w:webHidden/>
              </w:rPr>
              <w:instrText xml:space="preserve"> PAGEREF _Toc168982234 \h </w:instrText>
            </w:r>
            <w:r w:rsidR="00C90F00">
              <w:rPr>
                <w:noProof/>
                <w:webHidden/>
              </w:rPr>
            </w:r>
            <w:r w:rsidR="00C90F00">
              <w:rPr>
                <w:noProof/>
                <w:webHidden/>
              </w:rPr>
              <w:fldChar w:fldCharType="separate"/>
            </w:r>
            <w:r w:rsidR="000E1E25">
              <w:rPr>
                <w:noProof/>
                <w:webHidden/>
              </w:rPr>
              <w:t>7</w:t>
            </w:r>
            <w:r w:rsidR="00C90F00">
              <w:rPr>
                <w:noProof/>
                <w:webHidden/>
              </w:rPr>
              <w:fldChar w:fldCharType="end"/>
            </w:r>
          </w:hyperlink>
        </w:p>
        <w:p w14:paraId="6A27A8E6" w14:textId="0B93F178"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35" w:history="1">
            <w:r w:rsidR="00C90F00" w:rsidRPr="006D0EE7">
              <w:rPr>
                <w:rStyle w:val="Hyperlink"/>
                <w:noProof/>
              </w:rPr>
              <w:t>2.3.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Protection Impact Assessment (DPIA)</w:t>
            </w:r>
            <w:r w:rsidR="00C90F00">
              <w:rPr>
                <w:noProof/>
                <w:webHidden/>
              </w:rPr>
              <w:tab/>
            </w:r>
            <w:r w:rsidR="00C90F00">
              <w:rPr>
                <w:noProof/>
                <w:webHidden/>
              </w:rPr>
              <w:fldChar w:fldCharType="begin"/>
            </w:r>
            <w:r w:rsidR="00C90F00">
              <w:rPr>
                <w:noProof/>
                <w:webHidden/>
              </w:rPr>
              <w:instrText xml:space="preserve"> PAGEREF _Toc168982235 \h </w:instrText>
            </w:r>
            <w:r w:rsidR="00C90F00">
              <w:rPr>
                <w:noProof/>
                <w:webHidden/>
              </w:rPr>
            </w:r>
            <w:r w:rsidR="00C90F00">
              <w:rPr>
                <w:noProof/>
                <w:webHidden/>
              </w:rPr>
              <w:fldChar w:fldCharType="separate"/>
            </w:r>
            <w:r w:rsidR="000E1E25">
              <w:rPr>
                <w:noProof/>
                <w:webHidden/>
              </w:rPr>
              <w:t>8</w:t>
            </w:r>
            <w:r w:rsidR="00C90F00">
              <w:rPr>
                <w:noProof/>
                <w:webHidden/>
              </w:rPr>
              <w:fldChar w:fldCharType="end"/>
            </w:r>
          </w:hyperlink>
        </w:p>
        <w:p w14:paraId="0E877FD6" w14:textId="3E6152AE"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36" w:history="1">
            <w:r w:rsidR="00C90F00" w:rsidRPr="006D0EE7">
              <w:rPr>
                <w:rStyle w:val="Hyperlink"/>
                <w:noProof/>
              </w:rPr>
              <w:t>2.4</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Lawful Basis</w:t>
            </w:r>
            <w:r w:rsidR="00C90F00">
              <w:rPr>
                <w:noProof/>
                <w:webHidden/>
              </w:rPr>
              <w:tab/>
            </w:r>
            <w:r w:rsidR="00C90F00">
              <w:rPr>
                <w:noProof/>
                <w:webHidden/>
              </w:rPr>
              <w:fldChar w:fldCharType="begin"/>
            </w:r>
            <w:r w:rsidR="00C90F00">
              <w:rPr>
                <w:noProof/>
                <w:webHidden/>
              </w:rPr>
              <w:instrText xml:space="preserve"> PAGEREF _Toc168982236 \h </w:instrText>
            </w:r>
            <w:r w:rsidR="00C90F00">
              <w:rPr>
                <w:noProof/>
                <w:webHidden/>
              </w:rPr>
            </w:r>
            <w:r w:rsidR="00C90F00">
              <w:rPr>
                <w:noProof/>
                <w:webHidden/>
              </w:rPr>
              <w:fldChar w:fldCharType="separate"/>
            </w:r>
            <w:r w:rsidR="000E1E25">
              <w:rPr>
                <w:noProof/>
                <w:webHidden/>
              </w:rPr>
              <w:t>8</w:t>
            </w:r>
            <w:r w:rsidR="00C90F00">
              <w:rPr>
                <w:noProof/>
                <w:webHidden/>
              </w:rPr>
              <w:fldChar w:fldCharType="end"/>
            </w:r>
          </w:hyperlink>
        </w:p>
        <w:p w14:paraId="7F3FE704" w14:textId="41DEB94A"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37" w:history="1">
            <w:r w:rsidR="00C90F00" w:rsidRPr="006D0EE7">
              <w:rPr>
                <w:rStyle w:val="Hyperlink"/>
                <w:noProof/>
              </w:rPr>
              <w:t>2.4.1 Part 2 processing</w:t>
            </w:r>
            <w:r w:rsidR="00C90F00">
              <w:rPr>
                <w:noProof/>
                <w:webHidden/>
              </w:rPr>
              <w:tab/>
            </w:r>
            <w:r w:rsidR="00C90F00">
              <w:rPr>
                <w:noProof/>
                <w:webHidden/>
              </w:rPr>
              <w:fldChar w:fldCharType="begin"/>
            </w:r>
            <w:r w:rsidR="00C90F00">
              <w:rPr>
                <w:noProof/>
                <w:webHidden/>
              </w:rPr>
              <w:instrText xml:space="preserve"> PAGEREF _Toc168982237 \h </w:instrText>
            </w:r>
            <w:r w:rsidR="00C90F00">
              <w:rPr>
                <w:noProof/>
                <w:webHidden/>
              </w:rPr>
            </w:r>
            <w:r w:rsidR="00C90F00">
              <w:rPr>
                <w:noProof/>
                <w:webHidden/>
              </w:rPr>
              <w:fldChar w:fldCharType="separate"/>
            </w:r>
            <w:r w:rsidR="000E1E25">
              <w:rPr>
                <w:noProof/>
                <w:webHidden/>
              </w:rPr>
              <w:t>8</w:t>
            </w:r>
            <w:r w:rsidR="00C90F00">
              <w:rPr>
                <w:noProof/>
                <w:webHidden/>
              </w:rPr>
              <w:fldChar w:fldCharType="end"/>
            </w:r>
          </w:hyperlink>
        </w:p>
        <w:p w14:paraId="518E8016" w14:textId="11E94F8D"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38" w:history="1">
            <w:r w:rsidR="00C90F00" w:rsidRPr="006D0EE7">
              <w:rPr>
                <w:rStyle w:val="Hyperlink"/>
                <w:noProof/>
              </w:rPr>
              <w:t>2.4.2 Consent</w:t>
            </w:r>
            <w:r w:rsidR="00C90F00">
              <w:rPr>
                <w:noProof/>
                <w:webHidden/>
              </w:rPr>
              <w:tab/>
            </w:r>
            <w:r w:rsidR="00C90F00">
              <w:rPr>
                <w:noProof/>
                <w:webHidden/>
              </w:rPr>
              <w:fldChar w:fldCharType="begin"/>
            </w:r>
            <w:r w:rsidR="00C90F00">
              <w:rPr>
                <w:noProof/>
                <w:webHidden/>
              </w:rPr>
              <w:instrText xml:space="preserve"> PAGEREF _Toc168982238 \h </w:instrText>
            </w:r>
            <w:r w:rsidR="00C90F00">
              <w:rPr>
                <w:noProof/>
                <w:webHidden/>
              </w:rPr>
            </w:r>
            <w:r w:rsidR="00C90F00">
              <w:rPr>
                <w:noProof/>
                <w:webHidden/>
              </w:rPr>
              <w:fldChar w:fldCharType="separate"/>
            </w:r>
            <w:r w:rsidR="000E1E25">
              <w:rPr>
                <w:noProof/>
                <w:webHidden/>
              </w:rPr>
              <w:t>8</w:t>
            </w:r>
            <w:r w:rsidR="00C90F00">
              <w:rPr>
                <w:noProof/>
                <w:webHidden/>
              </w:rPr>
              <w:fldChar w:fldCharType="end"/>
            </w:r>
          </w:hyperlink>
        </w:p>
        <w:p w14:paraId="62D49ABD" w14:textId="3F283F0A"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39" w:history="1">
            <w:r w:rsidR="00C90F00" w:rsidRPr="006D0EE7">
              <w:rPr>
                <w:rStyle w:val="Hyperlink"/>
                <w:noProof/>
              </w:rPr>
              <w:t>2.4.3 Vital interests</w:t>
            </w:r>
            <w:r w:rsidR="00C90F00">
              <w:rPr>
                <w:noProof/>
                <w:webHidden/>
              </w:rPr>
              <w:tab/>
            </w:r>
            <w:r w:rsidR="00C90F00">
              <w:rPr>
                <w:noProof/>
                <w:webHidden/>
              </w:rPr>
              <w:fldChar w:fldCharType="begin"/>
            </w:r>
            <w:r w:rsidR="00C90F00">
              <w:rPr>
                <w:noProof/>
                <w:webHidden/>
              </w:rPr>
              <w:instrText xml:space="preserve"> PAGEREF _Toc168982239 \h </w:instrText>
            </w:r>
            <w:r w:rsidR="00C90F00">
              <w:rPr>
                <w:noProof/>
                <w:webHidden/>
              </w:rPr>
            </w:r>
            <w:r w:rsidR="00C90F00">
              <w:rPr>
                <w:noProof/>
                <w:webHidden/>
              </w:rPr>
              <w:fldChar w:fldCharType="separate"/>
            </w:r>
            <w:r w:rsidR="000E1E25">
              <w:rPr>
                <w:noProof/>
                <w:webHidden/>
              </w:rPr>
              <w:t>8</w:t>
            </w:r>
            <w:r w:rsidR="00C90F00">
              <w:rPr>
                <w:noProof/>
                <w:webHidden/>
              </w:rPr>
              <w:fldChar w:fldCharType="end"/>
            </w:r>
          </w:hyperlink>
        </w:p>
        <w:p w14:paraId="11414132" w14:textId="4F0E35F2"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0" w:history="1">
            <w:r w:rsidR="00C90F00" w:rsidRPr="006D0EE7">
              <w:rPr>
                <w:rStyle w:val="Hyperlink"/>
                <w:noProof/>
              </w:rPr>
              <w:t>2.4.4 Applicable legislation</w:t>
            </w:r>
            <w:r w:rsidR="00C90F00">
              <w:rPr>
                <w:noProof/>
                <w:webHidden/>
              </w:rPr>
              <w:tab/>
            </w:r>
            <w:r w:rsidR="00C90F00">
              <w:rPr>
                <w:noProof/>
                <w:webHidden/>
              </w:rPr>
              <w:fldChar w:fldCharType="begin"/>
            </w:r>
            <w:r w:rsidR="00C90F00">
              <w:rPr>
                <w:noProof/>
                <w:webHidden/>
              </w:rPr>
              <w:instrText xml:space="preserve"> PAGEREF _Toc168982240 \h </w:instrText>
            </w:r>
            <w:r w:rsidR="00C90F00">
              <w:rPr>
                <w:noProof/>
                <w:webHidden/>
              </w:rPr>
            </w:r>
            <w:r w:rsidR="00C90F00">
              <w:rPr>
                <w:noProof/>
                <w:webHidden/>
              </w:rPr>
              <w:fldChar w:fldCharType="separate"/>
            </w:r>
            <w:r w:rsidR="000E1E25">
              <w:rPr>
                <w:noProof/>
                <w:webHidden/>
              </w:rPr>
              <w:t>9</w:t>
            </w:r>
            <w:r w:rsidR="00C90F00">
              <w:rPr>
                <w:noProof/>
                <w:webHidden/>
              </w:rPr>
              <w:fldChar w:fldCharType="end"/>
            </w:r>
          </w:hyperlink>
        </w:p>
        <w:p w14:paraId="0F6ECA4C" w14:textId="679748D5"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41" w:history="1">
            <w:r w:rsidR="00C90F00" w:rsidRPr="006D0EE7">
              <w:rPr>
                <w:rStyle w:val="Hyperlink"/>
                <w:noProof/>
              </w:rPr>
              <w:t>2.5</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Proportionality and necessity</w:t>
            </w:r>
            <w:r w:rsidR="00C90F00">
              <w:rPr>
                <w:noProof/>
                <w:webHidden/>
              </w:rPr>
              <w:tab/>
            </w:r>
            <w:r w:rsidR="00C90F00">
              <w:rPr>
                <w:noProof/>
                <w:webHidden/>
              </w:rPr>
              <w:fldChar w:fldCharType="begin"/>
            </w:r>
            <w:r w:rsidR="00C90F00">
              <w:rPr>
                <w:noProof/>
                <w:webHidden/>
              </w:rPr>
              <w:instrText xml:space="preserve"> PAGEREF _Toc168982241 \h </w:instrText>
            </w:r>
            <w:r w:rsidR="00C90F00">
              <w:rPr>
                <w:noProof/>
                <w:webHidden/>
              </w:rPr>
            </w:r>
            <w:r w:rsidR="00C90F00">
              <w:rPr>
                <w:noProof/>
                <w:webHidden/>
              </w:rPr>
              <w:fldChar w:fldCharType="separate"/>
            </w:r>
            <w:r w:rsidR="000E1E25">
              <w:rPr>
                <w:noProof/>
                <w:webHidden/>
              </w:rPr>
              <w:t>9</w:t>
            </w:r>
            <w:r w:rsidR="00C90F00">
              <w:rPr>
                <w:noProof/>
                <w:webHidden/>
              </w:rPr>
              <w:fldChar w:fldCharType="end"/>
            </w:r>
          </w:hyperlink>
        </w:p>
        <w:p w14:paraId="285382C1" w14:textId="66FA7BBD"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42" w:history="1">
            <w:r w:rsidR="00C90F00" w:rsidRPr="006D0EE7">
              <w:rPr>
                <w:rStyle w:val="Hyperlink"/>
                <w:noProof/>
              </w:rPr>
              <w:t>2.6</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Other relevant legislation</w:t>
            </w:r>
            <w:r w:rsidR="00C90F00">
              <w:rPr>
                <w:noProof/>
                <w:webHidden/>
              </w:rPr>
              <w:tab/>
            </w:r>
            <w:r w:rsidR="00C90F00">
              <w:rPr>
                <w:noProof/>
                <w:webHidden/>
              </w:rPr>
              <w:fldChar w:fldCharType="begin"/>
            </w:r>
            <w:r w:rsidR="00C90F00">
              <w:rPr>
                <w:noProof/>
                <w:webHidden/>
              </w:rPr>
              <w:instrText xml:space="preserve"> PAGEREF _Toc168982242 \h </w:instrText>
            </w:r>
            <w:r w:rsidR="00C90F00">
              <w:rPr>
                <w:noProof/>
                <w:webHidden/>
              </w:rPr>
            </w:r>
            <w:r w:rsidR="00C90F00">
              <w:rPr>
                <w:noProof/>
                <w:webHidden/>
              </w:rPr>
              <w:fldChar w:fldCharType="separate"/>
            </w:r>
            <w:r w:rsidR="000E1E25">
              <w:rPr>
                <w:noProof/>
                <w:webHidden/>
              </w:rPr>
              <w:t>10</w:t>
            </w:r>
            <w:r w:rsidR="00C90F00">
              <w:rPr>
                <w:noProof/>
                <w:webHidden/>
              </w:rPr>
              <w:fldChar w:fldCharType="end"/>
            </w:r>
          </w:hyperlink>
        </w:p>
        <w:p w14:paraId="26CBE1FC" w14:textId="05199D79"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3" w:history="1">
            <w:r w:rsidR="00C90F00" w:rsidRPr="006D0EE7">
              <w:rPr>
                <w:rStyle w:val="Hyperlink"/>
                <w:noProof/>
              </w:rPr>
              <w:t>2.6.1 Common law duty of confidence</w:t>
            </w:r>
            <w:r w:rsidR="00C90F00">
              <w:rPr>
                <w:noProof/>
                <w:webHidden/>
              </w:rPr>
              <w:tab/>
            </w:r>
            <w:r w:rsidR="00C90F00">
              <w:rPr>
                <w:noProof/>
                <w:webHidden/>
              </w:rPr>
              <w:fldChar w:fldCharType="begin"/>
            </w:r>
            <w:r w:rsidR="00C90F00">
              <w:rPr>
                <w:noProof/>
                <w:webHidden/>
              </w:rPr>
              <w:instrText xml:space="preserve"> PAGEREF _Toc168982243 \h </w:instrText>
            </w:r>
            <w:r w:rsidR="00C90F00">
              <w:rPr>
                <w:noProof/>
                <w:webHidden/>
              </w:rPr>
            </w:r>
            <w:r w:rsidR="00C90F00">
              <w:rPr>
                <w:noProof/>
                <w:webHidden/>
              </w:rPr>
              <w:fldChar w:fldCharType="separate"/>
            </w:r>
            <w:r w:rsidR="000E1E25">
              <w:rPr>
                <w:noProof/>
                <w:webHidden/>
              </w:rPr>
              <w:t>10</w:t>
            </w:r>
            <w:r w:rsidR="00C90F00">
              <w:rPr>
                <w:noProof/>
                <w:webHidden/>
              </w:rPr>
              <w:fldChar w:fldCharType="end"/>
            </w:r>
          </w:hyperlink>
        </w:p>
        <w:p w14:paraId="76A9390A" w14:textId="6A617787"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4" w:history="1">
            <w:r w:rsidR="00C90F00" w:rsidRPr="006D0EE7">
              <w:rPr>
                <w:rStyle w:val="Hyperlink"/>
                <w:noProof/>
              </w:rPr>
              <w:t>Override for duty of confidentiality</w:t>
            </w:r>
            <w:r w:rsidR="00C90F00">
              <w:rPr>
                <w:noProof/>
                <w:webHidden/>
              </w:rPr>
              <w:tab/>
            </w:r>
            <w:r w:rsidR="00C90F00">
              <w:rPr>
                <w:noProof/>
                <w:webHidden/>
              </w:rPr>
              <w:fldChar w:fldCharType="begin"/>
            </w:r>
            <w:r w:rsidR="00C90F00">
              <w:rPr>
                <w:noProof/>
                <w:webHidden/>
              </w:rPr>
              <w:instrText xml:space="preserve"> PAGEREF _Toc168982244 \h </w:instrText>
            </w:r>
            <w:r w:rsidR="00C90F00">
              <w:rPr>
                <w:noProof/>
                <w:webHidden/>
              </w:rPr>
            </w:r>
            <w:r w:rsidR="00C90F00">
              <w:rPr>
                <w:noProof/>
                <w:webHidden/>
              </w:rPr>
              <w:fldChar w:fldCharType="separate"/>
            </w:r>
            <w:r w:rsidR="000E1E25">
              <w:rPr>
                <w:noProof/>
                <w:webHidden/>
              </w:rPr>
              <w:t>11</w:t>
            </w:r>
            <w:r w:rsidR="00C90F00">
              <w:rPr>
                <w:noProof/>
                <w:webHidden/>
              </w:rPr>
              <w:fldChar w:fldCharType="end"/>
            </w:r>
          </w:hyperlink>
        </w:p>
        <w:p w14:paraId="54FE3330" w14:textId="7DF5DB0C"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5" w:history="1">
            <w:r w:rsidR="00C90F00" w:rsidRPr="006D0EE7">
              <w:rPr>
                <w:rStyle w:val="Hyperlink"/>
                <w:noProof/>
              </w:rPr>
              <w:t>2.6.2 Freedom of information</w:t>
            </w:r>
            <w:r w:rsidR="00C90F00">
              <w:rPr>
                <w:noProof/>
                <w:webHidden/>
              </w:rPr>
              <w:tab/>
            </w:r>
            <w:r w:rsidR="00C90F00">
              <w:rPr>
                <w:noProof/>
                <w:webHidden/>
              </w:rPr>
              <w:fldChar w:fldCharType="begin"/>
            </w:r>
            <w:r w:rsidR="00C90F00">
              <w:rPr>
                <w:noProof/>
                <w:webHidden/>
              </w:rPr>
              <w:instrText xml:space="preserve"> PAGEREF _Toc168982245 \h </w:instrText>
            </w:r>
            <w:r w:rsidR="00C90F00">
              <w:rPr>
                <w:noProof/>
                <w:webHidden/>
              </w:rPr>
            </w:r>
            <w:r w:rsidR="00C90F00">
              <w:rPr>
                <w:noProof/>
                <w:webHidden/>
              </w:rPr>
              <w:fldChar w:fldCharType="separate"/>
            </w:r>
            <w:r w:rsidR="000E1E25">
              <w:rPr>
                <w:noProof/>
                <w:webHidden/>
              </w:rPr>
              <w:t>11</w:t>
            </w:r>
            <w:r w:rsidR="00C90F00">
              <w:rPr>
                <w:noProof/>
                <w:webHidden/>
              </w:rPr>
              <w:fldChar w:fldCharType="end"/>
            </w:r>
          </w:hyperlink>
        </w:p>
        <w:p w14:paraId="36FE8A56" w14:textId="37583D3E" w:rsidR="00C90F00" w:rsidRDefault="00000000">
          <w:pPr>
            <w:pStyle w:val="TOC1"/>
            <w:rPr>
              <w:rFonts w:asciiTheme="minorHAnsi" w:eastAsiaTheme="minorEastAsia" w:hAnsiTheme="minorHAnsi" w:cstheme="minorBidi"/>
              <w:noProof/>
              <w:kern w:val="2"/>
              <w:lang w:eastAsia="ja-JP"/>
              <w14:ligatures w14:val="standardContextual"/>
            </w:rPr>
          </w:pPr>
          <w:hyperlink w:anchor="_Toc168982246" w:history="1">
            <w:r w:rsidR="00C90F00" w:rsidRPr="006D0EE7">
              <w:rPr>
                <w:rStyle w:val="Hyperlink"/>
                <w:noProof/>
              </w:rPr>
              <w:t>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Individuals</w:t>
            </w:r>
            <w:r w:rsidR="00C90F00">
              <w:rPr>
                <w:noProof/>
                <w:webHidden/>
              </w:rPr>
              <w:tab/>
            </w:r>
            <w:r w:rsidR="00C90F00">
              <w:rPr>
                <w:noProof/>
                <w:webHidden/>
              </w:rPr>
              <w:fldChar w:fldCharType="begin"/>
            </w:r>
            <w:r w:rsidR="00C90F00">
              <w:rPr>
                <w:noProof/>
                <w:webHidden/>
              </w:rPr>
              <w:instrText xml:space="preserve"> PAGEREF _Toc168982246 \h </w:instrText>
            </w:r>
            <w:r w:rsidR="00C90F00">
              <w:rPr>
                <w:noProof/>
                <w:webHidden/>
              </w:rPr>
            </w:r>
            <w:r w:rsidR="00C90F00">
              <w:rPr>
                <w:noProof/>
                <w:webHidden/>
              </w:rPr>
              <w:fldChar w:fldCharType="separate"/>
            </w:r>
            <w:r w:rsidR="000E1E25">
              <w:rPr>
                <w:noProof/>
                <w:webHidden/>
              </w:rPr>
              <w:t>11</w:t>
            </w:r>
            <w:r w:rsidR="00C90F00">
              <w:rPr>
                <w:noProof/>
                <w:webHidden/>
              </w:rPr>
              <w:fldChar w:fldCharType="end"/>
            </w:r>
          </w:hyperlink>
        </w:p>
        <w:p w14:paraId="5E0DCD2C" w14:textId="3F2E7DE2"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47" w:history="1">
            <w:r w:rsidR="00C90F00" w:rsidRPr="006D0EE7">
              <w:rPr>
                <w:rStyle w:val="Hyperlink"/>
                <w:noProof/>
              </w:rPr>
              <w:t>3.1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subject rights requests and complaints</w:t>
            </w:r>
            <w:r w:rsidR="00C90F00">
              <w:rPr>
                <w:noProof/>
                <w:webHidden/>
              </w:rPr>
              <w:tab/>
            </w:r>
            <w:r w:rsidR="00C90F00">
              <w:rPr>
                <w:noProof/>
                <w:webHidden/>
              </w:rPr>
              <w:fldChar w:fldCharType="begin"/>
            </w:r>
            <w:r w:rsidR="00C90F00">
              <w:rPr>
                <w:noProof/>
                <w:webHidden/>
              </w:rPr>
              <w:instrText xml:space="preserve"> PAGEREF _Toc168982247 \h </w:instrText>
            </w:r>
            <w:r w:rsidR="00C90F00">
              <w:rPr>
                <w:noProof/>
                <w:webHidden/>
              </w:rPr>
            </w:r>
            <w:r w:rsidR="00C90F00">
              <w:rPr>
                <w:noProof/>
                <w:webHidden/>
              </w:rPr>
              <w:fldChar w:fldCharType="separate"/>
            </w:r>
            <w:r w:rsidR="000E1E25">
              <w:rPr>
                <w:noProof/>
                <w:webHidden/>
              </w:rPr>
              <w:t>11</w:t>
            </w:r>
            <w:r w:rsidR="00C90F00">
              <w:rPr>
                <w:noProof/>
                <w:webHidden/>
              </w:rPr>
              <w:fldChar w:fldCharType="end"/>
            </w:r>
          </w:hyperlink>
        </w:p>
        <w:p w14:paraId="5284F935" w14:textId="780A5D35"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8" w:history="1">
            <w:r w:rsidR="00C90F00" w:rsidRPr="006D0EE7">
              <w:rPr>
                <w:rStyle w:val="Hyperlink"/>
                <w:noProof/>
              </w:rPr>
              <w:t>Privacy information</w:t>
            </w:r>
            <w:r w:rsidR="00C90F00">
              <w:rPr>
                <w:noProof/>
                <w:webHidden/>
              </w:rPr>
              <w:tab/>
            </w:r>
            <w:r w:rsidR="00C90F00">
              <w:rPr>
                <w:noProof/>
                <w:webHidden/>
              </w:rPr>
              <w:fldChar w:fldCharType="begin"/>
            </w:r>
            <w:r w:rsidR="00C90F00">
              <w:rPr>
                <w:noProof/>
                <w:webHidden/>
              </w:rPr>
              <w:instrText xml:space="preserve"> PAGEREF _Toc168982248 \h </w:instrText>
            </w:r>
            <w:r w:rsidR="00C90F00">
              <w:rPr>
                <w:noProof/>
                <w:webHidden/>
              </w:rPr>
            </w:r>
            <w:r w:rsidR="00C90F00">
              <w:rPr>
                <w:noProof/>
                <w:webHidden/>
              </w:rPr>
              <w:fldChar w:fldCharType="separate"/>
            </w:r>
            <w:r w:rsidR="000E1E25">
              <w:rPr>
                <w:noProof/>
                <w:webHidden/>
              </w:rPr>
              <w:t>12</w:t>
            </w:r>
            <w:r w:rsidR="00C90F00">
              <w:rPr>
                <w:noProof/>
                <w:webHidden/>
              </w:rPr>
              <w:fldChar w:fldCharType="end"/>
            </w:r>
          </w:hyperlink>
        </w:p>
        <w:p w14:paraId="5259597E" w14:textId="33451633"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49" w:history="1">
            <w:r w:rsidR="00C90F00" w:rsidRPr="006D0EE7">
              <w:rPr>
                <w:rStyle w:val="Hyperlink"/>
                <w:noProof/>
              </w:rPr>
              <w:t>Rectification, erasure or restriction</w:t>
            </w:r>
            <w:r w:rsidR="00C90F00">
              <w:rPr>
                <w:noProof/>
                <w:webHidden/>
              </w:rPr>
              <w:tab/>
            </w:r>
            <w:r w:rsidR="00C90F00">
              <w:rPr>
                <w:noProof/>
                <w:webHidden/>
              </w:rPr>
              <w:fldChar w:fldCharType="begin"/>
            </w:r>
            <w:r w:rsidR="00C90F00">
              <w:rPr>
                <w:noProof/>
                <w:webHidden/>
              </w:rPr>
              <w:instrText xml:space="preserve"> PAGEREF _Toc168982249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48CB1E8D" w14:textId="4CA544A3"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50" w:history="1">
            <w:r w:rsidR="00C90F00" w:rsidRPr="006D0EE7">
              <w:rPr>
                <w:rStyle w:val="Hyperlink"/>
                <w:noProof/>
              </w:rPr>
              <w:t>Complaints</w:t>
            </w:r>
            <w:r w:rsidR="00C90F00">
              <w:rPr>
                <w:noProof/>
                <w:webHidden/>
              </w:rPr>
              <w:tab/>
            </w:r>
            <w:r w:rsidR="00C90F00">
              <w:rPr>
                <w:noProof/>
                <w:webHidden/>
              </w:rPr>
              <w:fldChar w:fldCharType="begin"/>
            </w:r>
            <w:r w:rsidR="00C90F00">
              <w:rPr>
                <w:noProof/>
                <w:webHidden/>
              </w:rPr>
              <w:instrText xml:space="preserve"> PAGEREF _Toc168982250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335FD0A7" w14:textId="20C44769"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51" w:history="1">
            <w:r w:rsidR="00C90F00" w:rsidRPr="006D0EE7">
              <w:rPr>
                <w:rStyle w:val="Hyperlink"/>
                <w:noProof/>
              </w:rPr>
              <w:t>3.2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subjects</w:t>
            </w:r>
            <w:r w:rsidR="00C90F00">
              <w:rPr>
                <w:noProof/>
                <w:webHidden/>
              </w:rPr>
              <w:tab/>
            </w:r>
            <w:r w:rsidR="00C90F00">
              <w:rPr>
                <w:noProof/>
                <w:webHidden/>
              </w:rPr>
              <w:fldChar w:fldCharType="begin"/>
            </w:r>
            <w:r w:rsidR="00C90F00">
              <w:rPr>
                <w:noProof/>
                <w:webHidden/>
              </w:rPr>
              <w:instrText xml:space="preserve"> PAGEREF _Toc168982251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7DD470CE" w14:textId="769514BD"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52" w:history="1">
            <w:r w:rsidR="00C90F00" w:rsidRPr="006D0EE7">
              <w:rPr>
                <w:rStyle w:val="Hyperlink"/>
                <w:noProof/>
              </w:rPr>
              <w:t>Types of data subjects</w:t>
            </w:r>
            <w:r w:rsidR="00C90F00">
              <w:rPr>
                <w:noProof/>
                <w:webHidden/>
              </w:rPr>
              <w:tab/>
            </w:r>
            <w:r w:rsidR="00C90F00">
              <w:rPr>
                <w:noProof/>
                <w:webHidden/>
              </w:rPr>
              <w:fldChar w:fldCharType="begin"/>
            </w:r>
            <w:r w:rsidR="00C90F00">
              <w:rPr>
                <w:noProof/>
                <w:webHidden/>
              </w:rPr>
              <w:instrText xml:space="preserve"> PAGEREF _Toc168982252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59F87C61" w14:textId="57132F65"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53" w:history="1">
            <w:r w:rsidR="00C90F00" w:rsidRPr="006D0EE7">
              <w:rPr>
                <w:rStyle w:val="Hyperlink"/>
                <w:noProof/>
              </w:rPr>
              <w:t>Describe</w:t>
            </w:r>
            <w:r w:rsidR="00C90F00">
              <w:rPr>
                <w:noProof/>
                <w:webHidden/>
              </w:rPr>
              <w:tab/>
            </w:r>
            <w:r w:rsidR="00C90F00">
              <w:rPr>
                <w:noProof/>
                <w:webHidden/>
              </w:rPr>
              <w:fldChar w:fldCharType="begin"/>
            </w:r>
            <w:r w:rsidR="00C90F00">
              <w:rPr>
                <w:noProof/>
                <w:webHidden/>
              </w:rPr>
              <w:instrText xml:space="preserve"> PAGEREF _Toc168982253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2CC884A8" w14:textId="4EBE879D"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54" w:history="1">
            <w:r w:rsidR="00C90F00" w:rsidRPr="006D0EE7">
              <w:rPr>
                <w:rStyle w:val="Hyperlink"/>
                <w:noProof/>
              </w:rPr>
              <w:t>3.3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Deceased individuals</w:t>
            </w:r>
            <w:r w:rsidR="00C90F00">
              <w:rPr>
                <w:noProof/>
                <w:webHidden/>
              </w:rPr>
              <w:tab/>
            </w:r>
            <w:r w:rsidR="00C90F00">
              <w:rPr>
                <w:noProof/>
                <w:webHidden/>
              </w:rPr>
              <w:fldChar w:fldCharType="begin"/>
            </w:r>
            <w:r w:rsidR="00C90F00">
              <w:rPr>
                <w:noProof/>
                <w:webHidden/>
              </w:rPr>
              <w:instrText xml:space="preserve"> PAGEREF _Toc168982254 \h </w:instrText>
            </w:r>
            <w:r w:rsidR="00C90F00">
              <w:rPr>
                <w:noProof/>
                <w:webHidden/>
              </w:rPr>
            </w:r>
            <w:r w:rsidR="00C90F00">
              <w:rPr>
                <w:noProof/>
                <w:webHidden/>
              </w:rPr>
              <w:fldChar w:fldCharType="separate"/>
            </w:r>
            <w:r w:rsidR="000E1E25">
              <w:rPr>
                <w:noProof/>
                <w:webHidden/>
              </w:rPr>
              <w:t>13</w:t>
            </w:r>
            <w:r w:rsidR="00C90F00">
              <w:rPr>
                <w:noProof/>
                <w:webHidden/>
              </w:rPr>
              <w:fldChar w:fldCharType="end"/>
            </w:r>
          </w:hyperlink>
        </w:p>
        <w:p w14:paraId="2395FEB2" w14:textId="09918720" w:rsidR="00C90F00" w:rsidRDefault="00000000">
          <w:pPr>
            <w:pStyle w:val="TOC1"/>
            <w:rPr>
              <w:rFonts w:asciiTheme="minorHAnsi" w:eastAsiaTheme="minorEastAsia" w:hAnsiTheme="minorHAnsi" w:cstheme="minorBidi"/>
              <w:noProof/>
              <w:kern w:val="2"/>
              <w:lang w:eastAsia="ja-JP"/>
              <w14:ligatures w14:val="standardContextual"/>
            </w:rPr>
          </w:pPr>
          <w:hyperlink w:anchor="_Toc168982255" w:history="1">
            <w:r w:rsidR="00C90F00" w:rsidRPr="006D0EE7">
              <w:rPr>
                <w:rStyle w:val="Hyperlink"/>
                <w:noProof/>
              </w:rPr>
              <w:t>4</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w:t>
            </w:r>
            <w:r w:rsidR="00C90F00">
              <w:rPr>
                <w:noProof/>
                <w:webHidden/>
              </w:rPr>
              <w:tab/>
            </w:r>
            <w:r w:rsidR="00C90F00">
              <w:rPr>
                <w:noProof/>
                <w:webHidden/>
              </w:rPr>
              <w:fldChar w:fldCharType="begin"/>
            </w:r>
            <w:r w:rsidR="00C90F00">
              <w:rPr>
                <w:noProof/>
                <w:webHidden/>
              </w:rPr>
              <w:instrText xml:space="preserve"> PAGEREF _Toc168982255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4C58A816" w14:textId="0F5B8A50"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56" w:history="1">
            <w:r w:rsidR="00C90F00" w:rsidRPr="006D0EE7">
              <w:rPr>
                <w:rStyle w:val="Hyperlink"/>
                <w:noProof/>
              </w:rPr>
              <w:t>4.1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categories</w:t>
            </w:r>
            <w:r w:rsidR="00C90F00">
              <w:rPr>
                <w:noProof/>
                <w:webHidden/>
              </w:rPr>
              <w:tab/>
            </w:r>
            <w:r w:rsidR="00C90F00">
              <w:rPr>
                <w:noProof/>
                <w:webHidden/>
              </w:rPr>
              <w:fldChar w:fldCharType="begin"/>
            </w:r>
            <w:r w:rsidR="00C90F00">
              <w:rPr>
                <w:noProof/>
                <w:webHidden/>
              </w:rPr>
              <w:instrText xml:space="preserve"> PAGEREF _Toc168982256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00354164" w14:textId="585FC8C6"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57" w:history="1">
            <w:r w:rsidR="00C90F00" w:rsidRPr="006D0EE7">
              <w:rPr>
                <w:rStyle w:val="Hyperlink"/>
                <w:noProof/>
              </w:rPr>
              <w:t>Part 2 processing</w:t>
            </w:r>
            <w:r w:rsidR="00C90F00">
              <w:rPr>
                <w:noProof/>
                <w:webHidden/>
              </w:rPr>
              <w:tab/>
            </w:r>
            <w:r w:rsidR="00C90F00">
              <w:rPr>
                <w:noProof/>
                <w:webHidden/>
              </w:rPr>
              <w:fldChar w:fldCharType="begin"/>
            </w:r>
            <w:r w:rsidR="00C90F00">
              <w:rPr>
                <w:noProof/>
                <w:webHidden/>
              </w:rPr>
              <w:instrText xml:space="preserve"> PAGEREF _Toc168982257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161A544D" w14:textId="2CEBD646"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58" w:history="1">
            <w:r w:rsidR="00C90F00" w:rsidRPr="006D0EE7">
              <w:rPr>
                <w:rStyle w:val="Hyperlink"/>
                <w:noProof/>
              </w:rPr>
              <w:t>Describe any anonymisation or pseudonymisation of data or outputs  (for pseudonymised data include details of which organisation holds the key to re-identification)</w:t>
            </w:r>
            <w:r w:rsidR="00C90F00" w:rsidRPr="006D0EE7">
              <w:rPr>
                <w:rStyle w:val="Hyperlink"/>
                <w:bCs/>
                <w:noProof/>
              </w:rPr>
              <w:t>:</w:t>
            </w:r>
            <w:r w:rsidR="00C90F00">
              <w:rPr>
                <w:noProof/>
                <w:webHidden/>
              </w:rPr>
              <w:tab/>
            </w:r>
            <w:r w:rsidR="00C90F00">
              <w:rPr>
                <w:noProof/>
                <w:webHidden/>
              </w:rPr>
              <w:fldChar w:fldCharType="begin"/>
            </w:r>
            <w:r w:rsidR="00C90F00">
              <w:rPr>
                <w:noProof/>
                <w:webHidden/>
              </w:rPr>
              <w:instrText xml:space="preserve"> PAGEREF _Toc168982258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0B20BF95" w14:textId="5AA6C268"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59" w:history="1">
            <w:r w:rsidR="00C90F00" w:rsidRPr="006D0EE7">
              <w:rPr>
                <w:rStyle w:val="Hyperlink"/>
                <w:noProof/>
              </w:rPr>
              <w:t>4.2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The data to be shared</w:t>
            </w:r>
            <w:r w:rsidR="00C90F00">
              <w:rPr>
                <w:noProof/>
                <w:webHidden/>
              </w:rPr>
              <w:tab/>
            </w:r>
            <w:r w:rsidR="00C90F00">
              <w:rPr>
                <w:noProof/>
                <w:webHidden/>
              </w:rPr>
              <w:fldChar w:fldCharType="begin"/>
            </w:r>
            <w:r w:rsidR="00C90F00">
              <w:rPr>
                <w:noProof/>
                <w:webHidden/>
              </w:rPr>
              <w:instrText xml:space="preserve"> PAGEREF _Toc168982259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02625C0E" w14:textId="4529C08E"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0" w:history="1">
            <w:r w:rsidR="00C90F00" w:rsidRPr="006D0EE7">
              <w:rPr>
                <w:rStyle w:val="Hyperlink"/>
                <w:noProof/>
              </w:rPr>
              <w:t>4.2.1 Personal data</w:t>
            </w:r>
            <w:r w:rsidR="00C90F00">
              <w:rPr>
                <w:noProof/>
                <w:webHidden/>
              </w:rPr>
              <w:tab/>
            </w:r>
            <w:r w:rsidR="00C90F00">
              <w:rPr>
                <w:noProof/>
                <w:webHidden/>
              </w:rPr>
              <w:fldChar w:fldCharType="begin"/>
            </w:r>
            <w:r w:rsidR="00C90F00">
              <w:rPr>
                <w:noProof/>
                <w:webHidden/>
              </w:rPr>
              <w:instrText xml:space="preserve"> PAGEREF _Toc168982260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12722F1B" w14:textId="68FF4A2C"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1" w:history="1">
            <w:r w:rsidR="00C90F00" w:rsidRPr="006D0EE7">
              <w:rPr>
                <w:rStyle w:val="Hyperlink"/>
                <w:noProof/>
              </w:rPr>
              <w:t xml:space="preserve">Describe the data </w:t>
            </w:r>
            <w:r w:rsidR="00C90F00" w:rsidRPr="006D0EE7">
              <w:rPr>
                <w:rStyle w:val="Hyperlink"/>
                <w:bCs/>
                <w:noProof/>
              </w:rPr>
              <w:t>- are there datasets or named reports? Is there any data specifically excluded?</w:t>
            </w:r>
            <w:r w:rsidR="00C90F00">
              <w:rPr>
                <w:noProof/>
                <w:webHidden/>
              </w:rPr>
              <w:tab/>
            </w:r>
            <w:r w:rsidR="00C90F00">
              <w:rPr>
                <w:noProof/>
                <w:webHidden/>
              </w:rPr>
              <w:fldChar w:fldCharType="begin"/>
            </w:r>
            <w:r w:rsidR="00C90F00">
              <w:rPr>
                <w:noProof/>
                <w:webHidden/>
              </w:rPr>
              <w:instrText xml:space="preserve"> PAGEREF _Toc168982261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4185D650" w14:textId="493FDA8F"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2" w:history="1">
            <w:r w:rsidR="00C90F00" w:rsidRPr="006D0EE7">
              <w:rPr>
                <w:rStyle w:val="Hyperlink"/>
                <w:noProof/>
              </w:rPr>
              <w:t>Frequency</w:t>
            </w:r>
            <w:r w:rsidR="00C90F00">
              <w:rPr>
                <w:noProof/>
                <w:webHidden/>
              </w:rPr>
              <w:tab/>
            </w:r>
            <w:r w:rsidR="00C90F00">
              <w:rPr>
                <w:noProof/>
                <w:webHidden/>
              </w:rPr>
              <w:fldChar w:fldCharType="begin"/>
            </w:r>
            <w:r w:rsidR="00C90F00">
              <w:rPr>
                <w:noProof/>
                <w:webHidden/>
              </w:rPr>
              <w:instrText xml:space="preserve"> PAGEREF _Toc168982262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467BA43E" w14:textId="38E75840"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63" w:history="1">
            <w:r w:rsidR="00C90F00" w:rsidRPr="006D0EE7">
              <w:rPr>
                <w:rStyle w:val="Hyperlink"/>
                <w:noProof/>
              </w:rPr>
              <w:t>4.3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Storing and handling information securely</w:t>
            </w:r>
            <w:r w:rsidR="00C90F00">
              <w:rPr>
                <w:noProof/>
                <w:webHidden/>
              </w:rPr>
              <w:tab/>
            </w:r>
            <w:r w:rsidR="00C90F00">
              <w:rPr>
                <w:noProof/>
                <w:webHidden/>
              </w:rPr>
              <w:fldChar w:fldCharType="begin"/>
            </w:r>
            <w:r w:rsidR="00C90F00">
              <w:rPr>
                <w:noProof/>
                <w:webHidden/>
              </w:rPr>
              <w:instrText xml:space="preserve"> PAGEREF _Toc168982263 \h </w:instrText>
            </w:r>
            <w:r w:rsidR="00C90F00">
              <w:rPr>
                <w:noProof/>
                <w:webHidden/>
              </w:rPr>
            </w:r>
            <w:r w:rsidR="00C90F00">
              <w:rPr>
                <w:noProof/>
                <w:webHidden/>
              </w:rPr>
              <w:fldChar w:fldCharType="separate"/>
            </w:r>
            <w:r w:rsidR="000E1E25">
              <w:rPr>
                <w:noProof/>
                <w:webHidden/>
              </w:rPr>
              <w:t>14</w:t>
            </w:r>
            <w:r w:rsidR="00C90F00">
              <w:rPr>
                <w:noProof/>
                <w:webHidden/>
              </w:rPr>
              <w:fldChar w:fldCharType="end"/>
            </w:r>
          </w:hyperlink>
        </w:p>
        <w:p w14:paraId="1058C122" w14:textId="260997BE"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4" w:history="1">
            <w:r w:rsidR="00C90F00" w:rsidRPr="006D0EE7">
              <w:rPr>
                <w:rStyle w:val="Hyperlink"/>
                <w:noProof/>
              </w:rPr>
              <w:t>Describe</w:t>
            </w:r>
            <w:r w:rsidR="00C90F00">
              <w:rPr>
                <w:noProof/>
                <w:webHidden/>
              </w:rPr>
              <w:tab/>
            </w:r>
            <w:r w:rsidR="00C90F00">
              <w:rPr>
                <w:noProof/>
                <w:webHidden/>
              </w:rPr>
              <w:fldChar w:fldCharType="begin"/>
            </w:r>
            <w:r w:rsidR="00C90F00">
              <w:rPr>
                <w:noProof/>
                <w:webHidden/>
              </w:rPr>
              <w:instrText xml:space="preserve"> PAGEREF _Toc168982264 \h </w:instrText>
            </w:r>
            <w:r w:rsidR="00C90F00">
              <w:rPr>
                <w:noProof/>
                <w:webHidden/>
              </w:rPr>
            </w:r>
            <w:r w:rsidR="00C90F00">
              <w:rPr>
                <w:noProof/>
                <w:webHidden/>
              </w:rPr>
              <w:fldChar w:fldCharType="separate"/>
            </w:r>
            <w:r w:rsidR="000E1E25">
              <w:rPr>
                <w:noProof/>
                <w:webHidden/>
              </w:rPr>
              <w:t>15</w:t>
            </w:r>
            <w:r w:rsidR="00C90F00">
              <w:rPr>
                <w:noProof/>
                <w:webHidden/>
              </w:rPr>
              <w:fldChar w:fldCharType="end"/>
            </w:r>
          </w:hyperlink>
        </w:p>
        <w:p w14:paraId="37F5EA54" w14:textId="7AF12FC0"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65" w:history="1">
            <w:r w:rsidR="00C90F00" w:rsidRPr="006D0EE7">
              <w:rPr>
                <w:rStyle w:val="Hyperlink"/>
                <w:noProof/>
              </w:rPr>
              <w:t>4.4</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Outside UK processing</w:t>
            </w:r>
            <w:r w:rsidR="00C90F00">
              <w:rPr>
                <w:noProof/>
                <w:webHidden/>
              </w:rPr>
              <w:tab/>
            </w:r>
            <w:r w:rsidR="00C90F00">
              <w:rPr>
                <w:noProof/>
                <w:webHidden/>
              </w:rPr>
              <w:fldChar w:fldCharType="begin"/>
            </w:r>
            <w:r w:rsidR="00C90F00">
              <w:rPr>
                <w:noProof/>
                <w:webHidden/>
              </w:rPr>
              <w:instrText xml:space="preserve"> PAGEREF _Toc168982265 \h </w:instrText>
            </w:r>
            <w:r w:rsidR="00C90F00">
              <w:rPr>
                <w:noProof/>
                <w:webHidden/>
              </w:rPr>
            </w:r>
            <w:r w:rsidR="00C90F00">
              <w:rPr>
                <w:noProof/>
                <w:webHidden/>
              </w:rPr>
              <w:fldChar w:fldCharType="separate"/>
            </w:r>
            <w:r w:rsidR="000E1E25">
              <w:rPr>
                <w:noProof/>
                <w:webHidden/>
              </w:rPr>
              <w:t>15</w:t>
            </w:r>
            <w:r w:rsidR="00C90F00">
              <w:rPr>
                <w:noProof/>
                <w:webHidden/>
              </w:rPr>
              <w:fldChar w:fldCharType="end"/>
            </w:r>
          </w:hyperlink>
        </w:p>
        <w:p w14:paraId="702B5C19" w14:textId="25680426"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6" w:history="1">
            <w:r w:rsidR="00C90F00" w:rsidRPr="006D0EE7">
              <w:rPr>
                <w:rStyle w:val="Hyperlink"/>
                <w:noProof/>
              </w:rPr>
              <w:t>Describe any outside UK processing</w:t>
            </w:r>
            <w:r w:rsidR="00C90F00">
              <w:rPr>
                <w:noProof/>
                <w:webHidden/>
              </w:rPr>
              <w:tab/>
            </w:r>
            <w:r w:rsidR="00C90F00">
              <w:rPr>
                <w:noProof/>
                <w:webHidden/>
              </w:rPr>
              <w:fldChar w:fldCharType="begin"/>
            </w:r>
            <w:r w:rsidR="00C90F00">
              <w:rPr>
                <w:noProof/>
                <w:webHidden/>
              </w:rPr>
              <w:instrText xml:space="preserve"> PAGEREF _Toc168982266 \h </w:instrText>
            </w:r>
            <w:r w:rsidR="00C90F00">
              <w:rPr>
                <w:noProof/>
                <w:webHidden/>
              </w:rPr>
            </w:r>
            <w:r w:rsidR="00C90F00">
              <w:rPr>
                <w:noProof/>
                <w:webHidden/>
              </w:rPr>
              <w:fldChar w:fldCharType="separate"/>
            </w:r>
            <w:r w:rsidR="000E1E25">
              <w:rPr>
                <w:noProof/>
                <w:webHidden/>
              </w:rPr>
              <w:t>15</w:t>
            </w:r>
            <w:r w:rsidR="00C90F00">
              <w:rPr>
                <w:noProof/>
                <w:webHidden/>
              </w:rPr>
              <w:fldChar w:fldCharType="end"/>
            </w:r>
          </w:hyperlink>
        </w:p>
        <w:p w14:paraId="4A792524" w14:textId="5A2DCFE3"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67" w:history="1">
            <w:r w:rsidR="00C90F00" w:rsidRPr="006D0EE7">
              <w:rPr>
                <w:rStyle w:val="Hyperlink"/>
                <w:noProof/>
              </w:rPr>
              <w:t>4.5</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quality</w:t>
            </w:r>
            <w:r w:rsidR="00C90F00">
              <w:rPr>
                <w:noProof/>
                <w:webHidden/>
              </w:rPr>
              <w:tab/>
            </w:r>
            <w:r w:rsidR="00C90F00">
              <w:rPr>
                <w:noProof/>
                <w:webHidden/>
              </w:rPr>
              <w:fldChar w:fldCharType="begin"/>
            </w:r>
            <w:r w:rsidR="00C90F00">
              <w:rPr>
                <w:noProof/>
                <w:webHidden/>
              </w:rPr>
              <w:instrText xml:space="preserve"> PAGEREF _Toc168982267 \h </w:instrText>
            </w:r>
            <w:r w:rsidR="00C90F00">
              <w:rPr>
                <w:noProof/>
                <w:webHidden/>
              </w:rPr>
            </w:r>
            <w:r w:rsidR="00C90F00">
              <w:rPr>
                <w:noProof/>
                <w:webHidden/>
              </w:rPr>
              <w:fldChar w:fldCharType="separate"/>
            </w:r>
            <w:r w:rsidR="000E1E25">
              <w:rPr>
                <w:noProof/>
                <w:webHidden/>
              </w:rPr>
              <w:t>15</w:t>
            </w:r>
            <w:r w:rsidR="00C90F00">
              <w:rPr>
                <w:noProof/>
                <w:webHidden/>
              </w:rPr>
              <w:fldChar w:fldCharType="end"/>
            </w:r>
          </w:hyperlink>
        </w:p>
        <w:p w14:paraId="2492ABDF" w14:textId="1D911F4A"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68" w:history="1">
            <w:r w:rsidR="00C90F00" w:rsidRPr="006D0EE7">
              <w:rPr>
                <w:rStyle w:val="Hyperlink"/>
                <w:noProof/>
              </w:rPr>
              <w:t xml:space="preserve">Describe how data quality and accuracy will be checked and assured </w:t>
            </w:r>
            <w:r w:rsidR="00C90F00" w:rsidRPr="006D0EE7">
              <w:rPr>
                <w:rStyle w:val="Hyperlink"/>
                <w:bCs/>
                <w:noProof/>
              </w:rPr>
              <w:t>- will you use standardised formats, how will you check the accuracy of data matching, which party is responsible?</w:t>
            </w:r>
            <w:r w:rsidR="00C90F00">
              <w:rPr>
                <w:noProof/>
                <w:webHidden/>
              </w:rPr>
              <w:tab/>
            </w:r>
            <w:r w:rsidR="00C90F00">
              <w:rPr>
                <w:noProof/>
                <w:webHidden/>
              </w:rPr>
              <w:fldChar w:fldCharType="begin"/>
            </w:r>
            <w:r w:rsidR="00C90F00">
              <w:rPr>
                <w:noProof/>
                <w:webHidden/>
              </w:rPr>
              <w:instrText xml:space="preserve"> PAGEREF _Toc168982268 \h </w:instrText>
            </w:r>
            <w:r w:rsidR="00C90F00">
              <w:rPr>
                <w:noProof/>
                <w:webHidden/>
              </w:rPr>
            </w:r>
            <w:r w:rsidR="00C90F00">
              <w:rPr>
                <w:noProof/>
                <w:webHidden/>
              </w:rPr>
              <w:fldChar w:fldCharType="separate"/>
            </w:r>
            <w:r w:rsidR="000E1E25">
              <w:rPr>
                <w:noProof/>
                <w:webHidden/>
              </w:rPr>
              <w:t>15</w:t>
            </w:r>
            <w:r w:rsidR="00C90F00">
              <w:rPr>
                <w:noProof/>
                <w:webHidden/>
              </w:rPr>
              <w:fldChar w:fldCharType="end"/>
            </w:r>
          </w:hyperlink>
        </w:p>
        <w:p w14:paraId="29D86307" w14:textId="629A24E7"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69" w:history="1">
            <w:r w:rsidR="00C90F00" w:rsidRPr="006D0EE7">
              <w:rPr>
                <w:rStyle w:val="Hyperlink"/>
                <w:noProof/>
              </w:rPr>
              <w:t>4.6</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Data breaches/incidents</w:t>
            </w:r>
            <w:r w:rsidR="00C90F00">
              <w:rPr>
                <w:noProof/>
                <w:webHidden/>
              </w:rPr>
              <w:tab/>
            </w:r>
            <w:r w:rsidR="00C90F00">
              <w:rPr>
                <w:noProof/>
                <w:webHidden/>
              </w:rPr>
              <w:fldChar w:fldCharType="begin"/>
            </w:r>
            <w:r w:rsidR="00C90F00">
              <w:rPr>
                <w:noProof/>
                <w:webHidden/>
              </w:rPr>
              <w:instrText xml:space="preserve"> PAGEREF _Toc168982269 \h </w:instrText>
            </w:r>
            <w:r w:rsidR="00C90F00">
              <w:rPr>
                <w:noProof/>
                <w:webHidden/>
              </w:rPr>
            </w:r>
            <w:r w:rsidR="00C90F00">
              <w:rPr>
                <w:noProof/>
                <w:webHidden/>
              </w:rPr>
              <w:fldChar w:fldCharType="separate"/>
            </w:r>
            <w:r w:rsidR="000E1E25">
              <w:rPr>
                <w:noProof/>
                <w:webHidden/>
              </w:rPr>
              <w:t>16</w:t>
            </w:r>
            <w:r w:rsidR="00C90F00">
              <w:rPr>
                <w:noProof/>
                <w:webHidden/>
              </w:rPr>
              <w:fldChar w:fldCharType="end"/>
            </w:r>
          </w:hyperlink>
        </w:p>
        <w:p w14:paraId="6D5BD54A" w14:textId="318EA46B"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70" w:history="1">
            <w:r w:rsidR="00C90F00" w:rsidRPr="006D0EE7">
              <w:rPr>
                <w:rStyle w:val="Hyperlink"/>
                <w:noProof/>
              </w:rPr>
              <w:t xml:space="preserve">Describe how incidents will be handled </w:t>
            </w:r>
            <w:r w:rsidR="00C90F00" w:rsidRPr="006D0EE7">
              <w:rPr>
                <w:rStyle w:val="Hyperlink"/>
                <w:bCs/>
                <w:noProof/>
              </w:rPr>
              <w:t>- which party is responsible (if not all individually), is one party responsible for a system or database?</w:t>
            </w:r>
            <w:r w:rsidR="00C90F00">
              <w:rPr>
                <w:noProof/>
                <w:webHidden/>
              </w:rPr>
              <w:tab/>
            </w:r>
            <w:r w:rsidR="00C90F00">
              <w:rPr>
                <w:noProof/>
                <w:webHidden/>
              </w:rPr>
              <w:fldChar w:fldCharType="begin"/>
            </w:r>
            <w:r w:rsidR="00C90F00">
              <w:rPr>
                <w:noProof/>
                <w:webHidden/>
              </w:rPr>
              <w:instrText xml:space="preserve"> PAGEREF _Toc168982270 \h </w:instrText>
            </w:r>
            <w:r w:rsidR="00C90F00">
              <w:rPr>
                <w:noProof/>
                <w:webHidden/>
              </w:rPr>
            </w:r>
            <w:r w:rsidR="00C90F00">
              <w:rPr>
                <w:noProof/>
                <w:webHidden/>
              </w:rPr>
              <w:fldChar w:fldCharType="separate"/>
            </w:r>
            <w:r w:rsidR="000E1E25">
              <w:rPr>
                <w:noProof/>
                <w:webHidden/>
              </w:rPr>
              <w:t>16</w:t>
            </w:r>
            <w:r w:rsidR="00C90F00">
              <w:rPr>
                <w:noProof/>
                <w:webHidden/>
              </w:rPr>
              <w:fldChar w:fldCharType="end"/>
            </w:r>
          </w:hyperlink>
        </w:p>
        <w:p w14:paraId="7712583D" w14:textId="5200D7DD"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71" w:history="1">
            <w:r w:rsidR="00C90F00" w:rsidRPr="006D0EE7">
              <w:rPr>
                <w:rStyle w:val="Hyperlink"/>
                <w:noProof/>
              </w:rPr>
              <w:t>4.7</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Retention and Disposal</w:t>
            </w:r>
            <w:r w:rsidR="00C90F00">
              <w:rPr>
                <w:noProof/>
                <w:webHidden/>
              </w:rPr>
              <w:tab/>
            </w:r>
            <w:r w:rsidR="00C90F00">
              <w:rPr>
                <w:noProof/>
                <w:webHidden/>
              </w:rPr>
              <w:fldChar w:fldCharType="begin"/>
            </w:r>
            <w:r w:rsidR="00C90F00">
              <w:rPr>
                <w:noProof/>
                <w:webHidden/>
              </w:rPr>
              <w:instrText xml:space="preserve"> PAGEREF _Toc168982271 \h </w:instrText>
            </w:r>
            <w:r w:rsidR="00C90F00">
              <w:rPr>
                <w:noProof/>
                <w:webHidden/>
              </w:rPr>
            </w:r>
            <w:r w:rsidR="00C90F00">
              <w:rPr>
                <w:noProof/>
                <w:webHidden/>
              </w:rPr>
              <w:fldChar w:fldCharType="separate"/>
            </w:r>
            <w:r w:rsidR="000E1E25">
              <w:rPr>
                <w:noProof/>
                <w:webHidden/>
              </w:rPr>
              <w:t>16</w:t>
            </w:r>
            <w:r w:rsidR="00C90F00">
              <w:rPr>
                <w:noProof/>
                <w:webHidden/>
              </w:rPr>
              <w:fldChar w:fldCharType="end"/>
            </w:r>
          </w:hyperlink>
        </w:p>
        <w:p w14:paraId="15D00CC8" w14:textId="4138779D"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72" w:history="1">
            <w:r w:rsidR="00C90F00" w:rsidRPr="006D0EE7">
              <w:rPr>
                <w:rStyle w:val="Hyperlink"/>
                <w:noProof/>
              </w:rPr>
              <w:t>4.7.1 Retention periods</w:t>
            </w:r>
            <w:r w:rsidR="00C90F00">
              <w:rPr>
                <w:noProof/>
                <w:webHidden/>
              </w:rPr>
              <w:tab/>
            </w:r>
            <w:r w:rsidR="00C90F00">
              <w:rPr>
                <w:noProof/>
                <w:webHidden/>
              </w:rPr>
              <w:fldChar w:fldCharType="begin"/>
            </w:r>
            <w:r w:rsidR="00C90F00">
              <w:rPr>
                <w:noProof/>
                <w:webHidden/>
              </w:rPr>
              <w:instrText xml:space="preserve"> PAGEREF _Toc168982272 \h </w:instrText>
            </w:r>
            <w:r w:rsidR="00C90F00">
              <w:rPr>
                <w:noProof/>
                <w:webHidden/>
              </w:rPr>
            </w:r>
            <w:r w:rsidR="00C90F00">
              <w:rPr>
                <w:noProof/>
                <w:webHidden/>
              </w:rPr>
              <w:fldChar w:fldCharType="separate"/>
            </w:r>
            <w:r w:rsidR="000E1E25">
              <w:rPr>
                <w:noProof/>
                <w:webHidden/>
              </w:rPr>
              <w:t>17</w:t>
            </w:r>
            <w:r w:rsidR="00C90F00">
              <w:rPr>
                <w:noProof/>
                <w:webHidden/>
              </w:rPr>
              <w:fldChar w:fldCharType="end"/>
            </w:r>
          </w:hyperlink>
        </w:p>
        <w:p w14:paraId="6987086E" w14:textId="07C93045"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73" w:history="1">
            <w:r w:rsidR="00C90F00" w:rsidRPr="006D0EE7">
              <w:rPr>
                <w:rStyle w:val="Hyperlink"/>
                <w:noProof/>
              </w:rPr>
              <w:t>4.7.2 When sharing ends</w:t>
            </w:r>
            <w:r w:rsidR="00C90F00">
              <w:rPr>
                <w:noProof/>
                <w:webHidden/>
              </w:rPr>
              <w:tab/>
            </w:r>
            <w:r w:rsidR="00C90F00">
              <w:rPr>
                <w:noProof/>
                <w:webHidden/>
              </w:rPr>
              <w:fldChar w:fldCharType="begin"/>
            </w:r>
            <w:r w:rsidR="00C90F00">
              <w:rPr>
                <w:noProof/>
                <w:webHidden/>
              </w:rPr>
              <w:instrText xml:space="preserve"> PAGEREF _Toc168982273 \h </w:instrText>
            </w:r>
            <w:r w:rsidR="00C90F00">
              <w:rPr>
                <w:noProof/>
                <w:webHidden/>
              </w:rPr>
            </w:r>
            <w:r w:rsidR="00C90F00">
              <w:rPr>
                <w:noProof/>
                <w:webHidden/>
              </w:rPr>
              <w:fldChar w:fldCharType="separate"/>
            </w:r>
            <w:r w:rsidR="000E1E25">
              <w:rPr>
                <w:noProof/>
                <w:webHidden/>
              </w:rPr>
              <w:t>17</w:t>
            </w:r>
            <w:r w:rsidR="00C90F00">
              <w:rPr>
                <w:noProof/>
                <w:webHidden/>
              </w:rPr>
              <w:fldChar w:fldCharType="end"/>
            </w:r>
          </w:hyperlink>
        </w:p>
        <w:p w14:paraId="7C5B5181" w14:textId="4EE06F65"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74" w:history="1">
            <w:r w:rsidR="00C90F00" w:rsidRPr="006D0EE7">
              <w:rPr>
                <w:rStyle w:val="Hyperlink"/>
                <w:noProof/>
              </w:rPr>
              <w:t>Describe</w:t>
            </w:r>
            <w:r w:rsidR="00C90F00">
              <w:rPr>
                <w:noProof/>
                <w:webHidden/>
              </w:rPr>
              <w:tab/>
            </w:r>
            <w:r w:rsidR="00C90F00">
              <w:rPr>
                <w:noProof/>
                <w:webHidden/>
              </w:rPr>
              <w:fldChar w:fldCharType="begin"/>
            </w:r>
            <w:r w:rsidR="00C90F00">
              <w:rPr>
                <w:noProof/>
                <w:webHidden/>
              </w:rPr>
              <w:instrText xml:space="preserve"> PAGEREF _Toc168982274 \h </w:instrText>
            </w:r>
            <w:r w:rsidR="00C90F00">
              <w:rPr>
                <w:noProof/>
                <w:webHidden/>
              </w:rPr>
            </w:r>
            <w:r w:rsidR="00C90F00">
              <w:rPr>
                <w:noProof/>
                <w:webHidden/>
              </w:rPr>
              <w:fldChar w:fldCharType="separate"/>
            </w:r>
            <w:r w:rsidR="000E1E25">
              <w:rPr>
                <w:noProof/>
                <w:webHidden/>
              </w:rPr>
              <w:t>17</w:t>
            </w:r>
            <w:r w:rsidR="00C90F00">
              <w:rPr>
                <w:noProof/>
                <w:webHidden/>
              </w:rPr>
              <w:fldChar w:fldCharType="end"/>
            </w:r>
          </w:hyperlink>
        </w:p>
        <w:p w14:paraId="5652B121" w14:textId="26EA6732" w:rsidR="00C90F00" w:rsidRDefault="00000000">
          <w:pPr>
            <w:pStyle w:val="TOC1"/>
            <w:rPr>
              <w:rFonts w:asciiTheme="minorHAnsi" w:eastAsiaTheme="minorEastAsia" w:hAnsiTheme="minorHAnsi" w:cstheme="minorBidi"/>
              <w:noProof/>
              <w:kern w:val="2"/>
              <w:lang w:eastAsia="ja-JP"/>
              <w14:ligatures w14:val="standardContextual"/>
            </w:rPr>
          </w:pPr>
          <w:hyperlink w:anchor="_Toc168982275" w:history="1">
            <w:r w:rsidR="00C90F00" w:rsidRPr="006D0EE7">
              <w:rPr>
                <w:rStyle w:val="Hyperlink"/>
                <w:noProof/>
              </w:rPr>
              <w:t>5</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Appendices</w:t>
            </w:r>
            <w:r w:rsidR="00C90F00">
              <w:rPr>
                <w:noProof/>
                <w:webHidden/>
              </w:rPr>
              <w:tab/>
            </w:r>
            <w:r w:rsidR="00C90F00">
              <w:rPr>
                <w:noProof/>
                <w:webHidden/>
              </w:rPr>
              <w:fldChar w:fldCharType="begin"/>
            </w:r>
            <w:r w:rsidR="00C90F00">
              <w:rPr>
                <w:noProof/>
                <w:webHidden/>
              </w:rPr>
              <w:instrText xml:space="preserve"> PAGEREF _Toc168982275 \h </w:instrText>
            </w:r>
            <w:r w:rsidR="00C90F00">
              <w:rPr>
                <w:noProof/>
                <w:webHidden/>
              </w:rPr>
            </w:r>
            <w:r w:rsidR="00C90F00">
              <w:rPr>
                <w:noProof/>
                <w:webHidden/>
              </w:rPr>
              <w:fldChar w:fldCharType="separate"/>
            </w:r>
            <w:r w:rsidR="000E1E25">
              <w:rPr>
                <w:noProof/>
                <w:webHidden/>
              </w:rPr>
              <w:t>18</w:t>
            </w:r>
            <w:r w:rsidR="00C90F00">
              <w:rPr>
                <w:noProof/>
                <w:webHidden/>
              </w:rPr>
              <w:fldChar w:fldCharType="end"/>
            </w:r>
          </w:hyperlink>
        </w:p>
        <w:p w14:paraId="3D623527" w14:textId="0FAE307C"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76" w:history="1">
            <w:r w:rsidR="00C90F00" w:rsidRPr="006D0EE7">
              <w:rPr>
                <w:rStyle w:val="Hyperlink"/>
                <w:noProof/>
              </w:rPr>
              <w:t>5.1</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Appendix A:  Parties to this agreement</w:t>
            </w:r>
            <w:r w:rsidR="00C90F00">
              <w:rPr>
                <w:noProof/>
                <w:webHidden/>
              </w:rPr>
              <w:tab/>
            </w:r>
            <w:r w:rsidR="00C90F00">
              <w:rPr>
                <w:noProof/>
                <w:webHidden/>
              </w:rPr>
              <w:fldChar w:fldCharType="begin"/>
            </w:r>
            <w:r w:rsidR="00C90F00">
              <w:rPr>
                <w:noProof/>
                <w:webHidden/>
              </w:rPr>
              <w:instrText xml:space="preserve"> PAGEREF _Toc168982276 \h </w:instrText>
            </w:r>
            <w:r w:rsidR="00C90F00">
              <w:rPr>
                <w:noProof/>
                <w:webHidden/>
              </w:rPr>
            </w:r>
            <w:r w:rsidR="00C90F00">
              <w:rPr>
                <w:noProof/>
                <w:webHidden/>
              </w:rPr>
              <w:fldChar w:fldCharType="separate"/>
            </w:r>
            <w:r w:rsidR="000E1E25">
              <w:rPr>
                <w:noProof/>
                <w:webHidden/>
              </w:rPr>
              <w:t>18</w:t>
            </w:r>
            <w:r w:rsidR="00C90F00">
              <w:rPr>
                <w:noProof/>
                <w:webHidden/>
              </w:rPr>
              <w:fldChar w:fldCharType="end"/>
            </w:r>
          </w:hyperlink>
        </w:p>
        <w:p w14:paraId="7B9DDDCD" w14:textId="28F38CB5"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77" w:history="1">
            <w:r w:rsidR="00C90F00" w:rsidRPr="006D0EE7">
              <w:rPr>
                <w:rStyle w:val="Hyperlink"/>
                <w:noProof/>
              </w:rPr>
              <w:t>5.2</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Appendix B: Applicable legislation</w:t>
            </w:r>
            <w:r w:rsidR="00C90F00">
              <w:rPr>
                <w:noProof/>
                <w:webHidden/>
              </w:rPr>
              <w:tab/>
            </w:r>
            <w:r w:rsidR="00C90F00">
              <w:rPr>
                <w:noProof/>
                <w:webHidden/>
              </w:rPr>
              <w:fldChar w:fldCharType="begin"/>
            </w:r>
            <w:r w:rsidR="00C90F00">
              <w:rPr>
                <w:noProof/>
                <w:webHidden/>
              </w:rPr>
              <w:instrText xml:space="preserve"> PAGEREF _Toc168982277 \h </w:instrText>
            </w:r>
            <w:r w:rsidR="00C90F00">
              <w:rPr>
                <w:noProof/>
                <w:webHidden/>
              </w:rPr>
            </w:r>
            <w:r w:rsidR="00C90F00">
              <w:rPr>
                <w:noProof/>
                <w:webHidden/>
              </w:rPr>
              <w:fldChar w:fldCharType="separate"/>
            </w:r>
            <w:r w:rsidR="000E1E25">
              <w:rPr>
                <w:noProof/>
                <w:webHidden/>
              </w:rPr>
              <w:t>19</w:t>
            </w:r>
            <w:r w:rsidR="00C90F00">
              <w:rPr>
                <w:noProof/>
                <w:webHidden/>
              </w:rPr>
              <w:fldChar w:fldCharType="end"/>
            </w:r>
          </w:hyperlink>
        </w:p>
        <w:p w14:paraId="7252E9FF" w14:textId="5AE447F0"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78" w:history="1">
            <w:r w:rsidR="00C90F00" w:rsidRPr="006D0EE7">
              <w:rPr>
                <w:rStyle w:val="Hyperlink"/>
                <w:noProof/>
              </w:rPr>
              <w:t>5.3</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Appendix C: Defence for sharing data</w:t>
            </w:r>
            <w:r w:rsidR="00C90F00">
              <w:rPr>
                <w:noProof/>
                <w:webHidden/>
              </w:rPr>
              <w:tab/>
            </w:r>
            <w:r w:rsidR="00C90F00">
              <w:rPr>
                <w:noProof/>
                <w:webHidden/>
              </w:rPr>
              <w:fldChar w:fldCharType="begin"/>
            </w:r>
            <w:r w:rsidR="00C90F00">
              <w:rPr>
                <w:noProof/>
                <w:webHidden/>
              </w:rPr>
              <w:instrText xml:space="preserve"> PAGEREF _Toc168982278 \h </w:instrText>
            </w:r>
            <w:r w:rsidR="00C90F00">
              <w:rPr>
                <w:noProof/>
                <w:webHidden/>
              </w:rPr>
            </w:r>
            <w:r w:rsidR="00C90F00">
              <w:rPr>
                <w:noProof/>
                <w:webHidden/>
              </w:rPr>
              <w:fldChar w:fldCharType="separate"/>
            </w:r>
            <w:r w:rsidR="000E1E25">
              <w:rPr>
                <w:noProof/>
                <w:webHidden/>
              </w:rPr>
              <w:t>20</w:t>
            </w:r>
            <w:r w:rsidR="00C90F00">
              <w:rPr>
                <w:noProof/>
                <w:webHidden/>
              </w:rPr>
              <w:fldChar w:fldCharType="end"/>
            </w:r>
          </w:hyperlink>
        </w:p>
        <w:p w14:paraId="71E7C475" w14:textId="3BFB51E0"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79" w:history="1">
            <w:r w:rsidR="00C90F00" w:rsidRPr="006D0EE7">
              <w:rPr>
                <w:rStyle w:val="Hyperlink"/>
                <w:noProof/>
              </w:rPr>
              <w:t>5.4</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Appendix D: Security of data</w:t>
            </w:r>
            <w:r w:rsidR="00C90F00">
              <w:rPr>
                <w:noProof/>
                <w:webHidden/>
              </w:rPr>
              <w:tab/>
            </w:r>
            <w:r w:rsidR="00C90F00">
              <w:rPr>
                <w:noProof/>
                <w:webHidden/>
              </w:rPr>
              <w:fldChar w:fldCharType="begin"/>
            </w:r>
            <w:r w:rsidR="00C90F00">
              <w:rPr>
                <w:noProof/>
                <w:webHidden/>
              </w:rPr>
              <w:instrText xml:space="preserve"> PAGEREF _Toc168982279 \h </w:instrText>
            </w:r>
            <w:r w:rsidR="00C90F00">
              <w:rPr>
                <w:noProof/>
                <w:webHidden/>
              </w:rPr>
            </w:r>
            <w:r w:rsidR="00C90F00">
              <w:rPr>
                <w:noProof/>
                <w:webHidden/>
              </w:rPr>
              <w:fldChar w:fldCharType="separate"/>
            </w:r>
            <w:r w:rsidR="000E1E25">
              <w:rPr>
                <w:noProof/>
                <w:webHidden/>
              </w:rPr>
              <w:t>21</w:t>
            </w:r>
            <w:r w:rsidR="00C90F00">
              <w:rPr>
                <w:noProof/>
                <w:webHidden/>
              </w:rPr>
              <w:fldChar w:fldCharType="end"/>
            </w:r>
          </w:hyperlink>
        </w:p>
        <w:p w14:paraId="6368C133" w14:textId="25D5331C"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80" w:history="1">
            <w:r w:rsidR="00C90F00" w:rsidRPr="006D0EE7">
              <w:rPr>
                <w:rStyle w:val="Hyperlink"/>
                <w:noProof/>
              </w:rPr>
              <w:t>Electronic records</w:t>
            </w:r>
            <w:r w:rsidR="00C90F00">
              <w:rPr>
                <w:noProof/>
                <w:webHidden/>
              </w:rPr>
              <w:tab/>
            </w:r>
            <w:r w:rsidR="00C90F00">
              <w:rPr>
                <w:noProof/>
                <w:webHidden/>
              </w:rPr>
              <w:fldChar w:fldCharType="begin"/>
            </w:r>
            <w:r w:rsidR="00C90F00">
              <w:rPr>
                <w:noProof/>
                <w:webHidden/>
              </w:rPr>
              <w:instrText xml:space="preserve"> PAGEREF _Toc168982280 \h </w:instrText>
            </w:r>
            <w:r w:rsidR="00C90F00">
              <w:rPr>
                <w:noProof/>
                <w:webHidden/>
              </w:rPr>
            </w:r>
            <w:r w:rsidR="00C90F00">
              <w:rPr>
                <w:noProof/>
                <w:webHidden/>
              </w:rPr>
              <w:fldChar w:fldCharType="separate"/>
            </w:r>
            <w:r w:rsidR="000E1E25">
              <w:rPr>
                <w:noProof/>
                <w:webHidden/>
              </w:rPr>
              <w:t>21</w:t>
            </w:r>
            <w:r w:rsidR="00C90F00">
              <w:rPr>
                <w:noProof/>
                <w:webHidden/>
              </w:rPr>
              <w:fldChar w:fldCharType="end"/>
            </w:r>
          </w:hyperlink>
        </w:p>
        <w:p w14:paraId="44C8B5BE" w14:textId="287F79A1"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81" w:history="1">
            <w:r w:rsidR="00C90F00" w:rsidRPr="006D0EE7">
              <w:rPr>
                <w:rStyle w:val="Hyperlink"/>
                <w:noProof/>
              </w:rPr>
              <w:t>Phone/virtual meetings/face-to-face meetings</w:t>
            </w:r>
            <w:r w:rsidR="00C90F00">
              <w:rPr>
                <w:noProof/>
                <w:webHidden/>
              </w:rPr>
              <w:tab/>
            </w:r>
            <w:r w:rsidR="00C90F00">
              <w:rPr>
                <w:noProof/>
                <w:webHidden/>
              </w:rPr>
              <w:fldChar w:fldCharType="begin"/>
            </w:r>
            <w:r w:rsidR="00C90F00">
              <w:rPr>
                <w:noProof/>
                <w:webHidden/>
              </w:rPr>
              <w:instrText xml:space="preserve"> PAGEREF _Toc168982281 \h </w:instrText>
            </w:r>
            <w:r w:rsidR="00C90F00">
              <w:rPr>
                <w:noProof/>
                <w:webHidden/>
              </w:rPr>
            </w:r>
            <w:r w:rsidR="00C90F00">
              <w:rPr>
                <w:noProof/>
                <w:webHidden/>
              </w:rPr>
              <w:fldChar w:fldCharType="separate"/>
            </w:r>
            <w:r w:rsidR="000E1E25">
              <w:rPr>
                <w:noProof/>
                <w:webHidden/>
              </w:rPr>
              <w:t>21</w:t>
            </w:r>
            <w:r w:rsidR="00C90F00">
              <w:rPr>
                <w:noProof/>
                <w:webHidden/>
              </w:rPr>
              <w:fldChar w:fldCharType="end"/>
            </w:r>
          </w:hyperlink>
        </w:p>
        <w:p w14:paraId="62F1094C" w14:textId="324F8CFF"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82" w:history="1">
            <w:r w:rsidR="00C90F00" w:rsidRPr="006D0EE7">
              <w:rPr>
                <w:rStyle w:val="Hyperlink"/>
                <w:noProof/>
              </w:rPr>
              <w:t>Paper records</w:t>
            </w:r>
            <w:r w:rsidR="00C90F00">
              <w:rPr>
                <w:noProof/>
                <w:webHidden/>
              </w:rPr>
              <w:tab/>
            </w:r>
            <w:r w:rsidR="00C90F00">
              <w:rPr>
                <w:noProof/>
                <w:webHidden/>
              </w:rPr>
              <w:fldChar w:fldCharType="begin"/>
            </w:r>
            <w:r w:rsidR="00C90F00">
              <w:rPr>
                <w:noProof/>
                <w:webHidden/>
              </w:rPr>
              <w:instrText xml:space="preserve"> PAGEREF _Toc168982282 \h </w:instrText>
            </w:r>
            <w:r w:rsidR="00C90F00">
              <w:rPr>
                <w:noProof/>
                <w:webHidden/>
              </w:rPr>
            </w:r>
            <w:r w:rsidR="00C90F00">
              <w:rPr>
                <w:noProof/>
                <w:webHidden/>
              </w:rPr>
              <w:fldChar w:fldCharType="separate"/>
            </w:r>
            <w:r w:rsidR="000E1E25">
              <w:rPr>
                <w:noProof/>
                <w:webHidden/>
              </w:rPr>
              <w:t>22</w:t>
            </w:r>
            <w:r w:rsidR="00C90F00">
              <w:rPr>
                <w:noProof/>
                <w:webHidden/>
              </w:rPr>
              <w:fldChar w:fldCharType="end"/>
            </w:r>
          </w:hyperlink>
        </w:p>
        <w:p w14:paraId="53FE8931" w14:textId="40EDC3E6" w:rsidR="00C90F00" w:rsidRDefault="00000000">
          <w:pPr>
            <w:pStyle w:val="TOC2"/>
            <w:tabs>
              <w:tab w:val="left" w:pos="880"/>
              <w:tab w:val="right" w:pos="9246"/>
            </w:tabs>
            <w:rPr>
              <w:rFonts w:asciiTheme="minorHAnsi" w:eastAsiaTheme="minorEastAsia" w:hAnsiTheme="minorHAnsi" w:cstheme="minorBidi"/>
              <w:noProof/>
              <w:kern w:val="2"/>
              <w:lang w:eastAsia="ja-JP"/>
              <w14:ligatures w14:val="standardContextual"/>
            </w:rPr>
          </w:pPr>
          <w:hyperlink w:anchor="_Toc168982283" w:history="1">
            <w:r w:rsidR="00C90F00" w:rsidRPr="006D0EE7">
              <w:rPr>
                <w:rStyle w:val="Hyperlink"/>
                <w:noProof/>
              </w:rPr>
              <w:t>5.5</w:t>
            </w:r>
            <w:r w:rsidR="00C90F00">
              <w:rPr>
                <w:rFonts w:asciiTheme="minorHAnsi" w:eastAsiaTheme="minorEastAsia" w:hAnsiTheme="minorHAnsi" w:cstheme="minorBidi"/>
                <w:noProof/>
                <w:kern w:val="2"/>
                <w:lang w:eastAsia="ja-JP"/>
                <w14:ligatures w14:val="standardContextual"/>
              </w:rPr>
              <w:tab/>
            </w:r>
            <w:r w:rsidR="00C90F00" w:rsidRPr="006D0EE7">
              <w:rPr>
                <w:rStyle w:val="Hyperlink"/>
                <w:noProof/>
              </w:rPr>
              <w:t>Appendix E: Public Switched Telephone Network charter</w:t>
            </w:r>
            <w:r w:rsidR="00C90F00">
              <w:rPr>
                <w:noProof/>
                <w:webHidden/>
              </w:rPr>
              <w:tab/>
            </w:r>
            <w:r w:rsidR="00C90F00">
              <w:rPr>
                <w:noProof/>
                <w:webHidden/>
              </w:rPr>
              <w:fldChar w:fldCharType="begin"/>
            </w:r>
            <w:r w:rsidR="00C90F00">
              <w:rPr>
                <w:noProof/>
                <w:webHidden/>
              </w:rPr>
              <w:instrText xml:space="preserve"> PAGEREF _Toc168982283 \h </w:instrText>
            </w:r>
            <w:r w:rsidR="00C90F00">
              <w:rPr>
                <w:noProof/>
                <w:webHidden/>
              </w:rPr>
            </w:r>
            <w:r w:rsidR="00C90F00">
              <w:rPr>
                <w:noProof/>
                <w:webHidden/>
              </w:rPr>
              <w:fldChar w:fldCharType="separate"/>
            </w:r>
            <w:r w:rsidR="000E1E25">
              <w:rPr>
                <w:noProof/>
                <w:webHidden/>
              </w:rPr>
              <w:t>22</w:t>
            </w:r>
            <w:r w:rsidR="00C90F00">
              <w:rPr>
                <w:noProof/>
                <w:webHidden/>
              </w:rPr>
              <w:fldChar w:fldCharType="end"/>
            </w:r>
          </w:hyperlink>
        </w:p>
        <w:p w14:paraId="66E1FBCF" w14:textId="4086F5B9" w:rsidR="00C90F00" w:rsidRDefault="00000000">
          <w:pPr>
            <w:pStyle w:val="TOC3"/>
            <w:tabs>
              <w:tab w:val="right" w:pos="9246"/>
            </w:tabs>
            <w:rPr>
              <w:rFonts w:asciiTheme="minorHAnsi" w:eastAsiaTheme="minorEastAsia" w:hAnsiTheme="minorHAnsi" w:cstheme="minorBidi"/>
              <w:noProof/>
              <w:kern w:val="2"/>
              <w:lang w:eastAsia="ja-JP"/>
              <w14:ligatures w14:val="standardContextual"/>
            </w:rPr>
          </w:pPr>
          <w:hyperlink w:anchor="_Toc168982284" w:history="1">
            <w:r w:rsidR="00C90F00" w:rsidRPr="006D0EE7">
              <w:rPr>
                <w:rStyle w:val="Hyperlink"/>
                <w:noProof/>
              </w:rPr>
              <w:t>List of signatories</w:t>
            </w:r>
            <w:r w:rsidR="00C90F00">
              <w:rPr>
                <w:noProof/>
                <w:webHidden/>
              </w:rPr>
              <w:tab/>
            </w:r>
            <w:r w:rsidR="00C90F00">
              <w:rPr>
                <w:noProof/>
                <w:webHidden/>
              </w:rPr>
              <w:fldChar w:fldCharType="begin"/>
            </w:r>
            <w:r w:rsidR="00C90F00">
              <w:rPr>
                <w:noProof/>
                <w:webHidden/>
              </w:rPr>
              <w:instrText xml:space="preserve"> PAGEREF _Toc168982284 \h </w:instrText>
            </w:r>
            <w:r w:rsidR="00C90F00">
              <w:rPr>
                <w:noProof/>
                <w:webHidden/>
              </w:rPr>
            </w:r>
            <w:r w:rsidR="00C90F00">
              <w:rPr>
                <w:noProof/>
                <w:webHidden/>
              </w:rPr>
              <w:fldChar w:fldCharType="separate"/>
            </w:r>
            <w:r w:rsidR="000E1E25">
              <w:rPr>
                <w:noProof/>
                <w:webHidden/>
              </w:rPr>
              <w:t>23</w:t>
            </w:r>
            <w:r w:rsidR="00C90F00">
              <w:rPr>
                <w:noProof/>
                <w:webHidden/>
              </w:rPr>
              <w:fldChar w:fldCharType="end"/>
            </w:r>
          </w:hyperlink>
        </w:p>
        <w:p w14:paraId="232F5FB5" w14:textId="77777777" w:rsidR="00C22689" w:rsidRDefault="009C0578" w:rsidP="00C22689">
          <w:pPr>
            <w:pStyle w:val="TOC2"/>
            <w:tabs>
              <w:tab w:val="left" w:pos="880"/>
              <w:tab w:val="right" w:pos="8496"/>
            </w:tabs>
          </w:pPr>
          <w:r w:rsidRPr="00CC5AE7">
            <w:fldChar w:fldCharType="end"/>
          </w:r>
        </w:p>
      </w:sdtContent>
    </w:sdt>
    <w:bookmarkStart w:id="12" w:name="_byt0e6mibd2e" w:colFirst="0" w:colLast="0" w:displacedByCustomXml="prev"/>
    <w:bookmarkEnd w:id="12" w:displacedByCustomXml="prev"/>
    <w:bookmarkStart w:id="13" w:name="_87wdqsmnh1qn" w:colFirst="0" w:colLast="0" w:displacedByCustomXml="prev"/>
    <w:bookmarkEnd w:id="13" w:displacedByCustomXml="prev"/>
    <w:bookmarkStart w:id="14" w:name="_Toc168982220" w:displacedByCustomXml="prev"/>
    <w:p w14:paraId="040294FA" w14:textId="77777777" w:rsidR="000E1E25" w:rsidRDefault="000E1E25">
      <w:pPr>
        <w:rPr>
          <w:b/>
          <w:color w:val="1F497D"/>
          <w:sz w:val="40"/>
          <w:szCs w:val="40"/>
        </w:rPr>
      </w:pPr>
      <w:r>
        <w:br w:type="page"/>
      </w:r>
    </w:p>
    <w:p w14:paraId="54A25ABA" w14:textId="34DFAD28" w:rsidR="00A27AC2" w:rsidRDefault="009C0578" w:rsidP="00C22689">
      <w:pPr>
        <w:pStyle w:val="Heading1"/>
      </w:pPr>
      <w:r>
        <w:lastRenderedPageBreak/>
        <w:t>The Data Sharing Agreement</w:t>
      </w:r>
      <w:bookmarkEnd w:id="14"/>
    </w:p>
    <w:p w14:paraId="737F7A2B" w14:textId="77777777" w:rsidR="00A27AC2" w:rsidRDefault="00A27AC2" w:rsidP="00CC5AE7"/>
    <w:p w14:paraId="7C7EB356" w14:textId="77777777" w:rsidR="00A27AC2" w:rsidRDefault="009C0578" w:rsidP="00F236C4">
      <w:pPr>
        <w:pStyle w:val="Heading2"/>
        <w:numPr>
          <w:ilvl w:val="1"/>
          <w:numId w:val="8"/>
        </w:numPr>
      </w:pPr>
      <w:bookmarkStart w:id="15" w:name="_Toc168982221"/>
      <w:r>
        <w:t>Ownership of this agreement</w:t>
      </w:r>
      <w:bookmarkEnd w:id="15"/>
    </w:p>
    <w:p w14:paraId="23B2E3DA" w14:textId="1686526B" w:rsidR="00A27AC2" w:rsidRDefault="009C0578" w:rsidP="00CC5AE7">
      <w:bookmarkStart w:id="16" w:name="_3dy6vkm" w:colFirst="0" w:colLast="0"/>
      <w:bookmarkEnd w:id="16"/>
      <w:r>
        <w:t xml:space="preserve">This agreement was drafted under the Pan-London Data Sharing Project, facilitated by LOTI at London Councils. It is made available for local authorities and </w:t>
      </w:r>
      <w:r w:rsidR="0071632C">
        <w:t>communication</w:t>
      </w:r>
      <w:r>
        <w:t>s providers to document data sharing between the named parties.</w:t>
      </w:r>
    </w:p>
    <w:p w14:paraId="20DBF48B" w14:textId="77777777" w:rsidR="00A27AC2" w:rsidRDefault="00A27AC2" w:rsidP="00CC5AE7"/>
    <w:p w14:paraId="314143E0" w14:textId="77777777" w:rsidR="00A27AC2" w:rsidRDefault="009C0578" w:rsidP="00F236C4">
      <w:pPr>
        <w:pStyle w:val="Heading2"/>
        <w:numPr>
          <w:ilvl w:val="1"/>
          <w:numId w:val="8"/>
        </w:numPr>
      </w:pPr>
      <w:bookmarkStart w:id="17" w:name="_Toc168982222"/>
      <w:r>
        <w:t>Parties to this agreement</w:t>
      </w:r>
      <w:bookmarkEnd w:id="17"/>
    </w:p>
    <w:p w14:paraId="2FD5B7E0" w14:textId="080943BC" w:rsidR="00A27AC2" w:rsidRDefault="009C0578" w:rsidP="00CC5AE7">
      <w:r>
        <w:t xml:space="preserve">The parties are registered Data Controllers under data protection legislation and are listed in </w:t>
      </w:r>
      <w:r>
        <w:rPr>
          <w:b/>
        </w:rPr>
        <w:t>Appendix A</w:t>
      </w:r>
      <w:r>
        <w:t>. This agreement covers data sharing that is:</w:t>
      </w:r>
    </w:p>
    <w:p w14:paraId="108B0DFD" w14:textId="381AA3C3" w:rsidR="00E445C4" w:rsidRPr="00E445C4" w:rsidRDefault="00E445C4" w:rsidP="00F236C4">
      <w:pPr>
        <w:pStyle w:val="ListParagraph"/>
        <w:numPr>
          <w:ilvl w:val="0"/>
          <w:numId w:val="14"/>
        </w:numPr>
        <w:tabs>
          <w:tab w:val="left" w:pos="865"/>
        </w:tabs>
        <w:spacing w:before="240" w:after="240" w:line="276" w:lineRule="auto"/>
        <w:rPr>
          <w:sz w:val="24"/>
          <w:szCs w:val="24"/>
        </w:rPr>
      </w:pPr>
      <w:r>
        <w:t xml:space="preserve">Controller to </w:t>
      </w:r>
      <w:r w:rsidR="32F9583E">
        <w:t>C</w:t>
      </w:r>
      <w:r>
        <w:t xml:space="preserve">ontroller </w:t>
      </w:r>
    </w:p>
    <w:p w14:paraId="62A42D8C" w14:textId="77777777" w:rsidR="00A27AC2" w:rsidRDefault="009C0578" w:rsidP="00F236C4">
      <w:pPr>
        <w:pStyle w:val="Heading2"/>
        <w:numPr>
          <w:ilvl w:val="1"/>
          <w:numId w:val="8"/>
        </w:numPr>
      </w:pPr>
      <w:bookmarkStart w:id="18" w:name="_Toc168982223"/>
      <w:r>
        <w:t>Responsibilities of parties involved</w:t>
      </w:r>
      <w:bookmarkEnd w:id="18"/>
    </w:p>
    <w:p w14:paraId="4F743484" w14:textId="77777777" w:rsidR="00A27AC2" w:rsidRDefault="009C0578" w:rsidP="00CC5AE7">
      <w:pPr>
        <w:pBdr>
          <w:top w:val="nil"/>
          <w:left w:val="nil"/>
          <w:bottom w:val="nil"/>
          <w:right w:val="nil"/>
          <w:between w:val="nil"/>
        </w:pBdr>
        <w:rPr>
          <w:color w:val="000000"/>
        </w:rPr>
      </w:pPr>
      <w:r>
        <w:rPr>
          <w:color w:val="000000"/>
        </w:rPr>
        <w:t xml:space="preserve"> All parties will</w:t>
      </w:r>
    </w:p>
    <w:p w14:paraId="380F91EE" w14:textId="77777777" w:rsidR="00A27AC2" w:rsidRDefault="009C0578" w:rsidP="00F236C4">
      <w:pPr>
        <w:numPr>
          <w:ilvl w:val="0"/>
          <w:numId w:val="13"/>
        </w:numPr>
        <w:pBdr>
          <w:top w:val="nil"/>
          <w:left w:val="nil"/>
          <w:bottom w:val="nil"/>
          <w:right w:val="nil"/>
          <w:between w:val="nil"/>
        </w:pBdr>
        <w:spacing w:after="0"/>
        <w:ind w:right="-138"/>
        <w:rPr>
          <w:color w:val="000000"/>
        </w:rPr>
      </w:pPr>
      <w:r>
        <w:t>comply with data protection legislation and the responsibilities within this DSA, according to their statutory and professional duties.</w:t>
      </w:r>
    </w:p>
    <w:p w14:paraId="485E3978" w14:textId="77777777" w:rsidR="00A27AC2" w:rsidRDefault="009C0578" w:rsidP="00F236C4">
      <w:pPr>
        <w:numPr>
          <w:ilvl w:val="0"/>
          <w:numId w:val="13"/>
        </w:numPr>
        <w:pBdr>
          <w:top w:val="nil"/>
          <w:left w:val="nil"/>
          <w:bottom w:val="nil"/>
          <w:right w:val="nil"/>
          <w:between w:val="nil"/>
        </w:pBdr>
        <w:spacing w:before="0"/>
        <w:ind w:right="-138"/>
        <w:rPr>
          <w:color w:val="000000"/>
        </w:rPr>
      </w:pPr>
      <w:r>
        <w:t xml:space="preserve">choose a suitable signatory, who has the authority to commit to the responsibilities. </w:t>
      </w:r>
    </w:p>
    <w:p w14:paraId="61CF7A8C" w14:textId="77777777" w:rsidR="00A27AC2" w:rsidRDefault="009C0578" w:rsidP="00F236C4">
      <w:pPr>
        <w:numPr>
          <w:ilvl w:val="0"/>
          <w:numId w:val="13"/>
        </w:numPr>
        <w:ind w:right="-138"/>
        <w:rPr>
          <w:color w:val="000000"/>
        </w:rPr>
      </w:pPr>
      <w:r>
        <w:t>suitably vet staff through any necessary employee checks.</w:t>
      </w:r>
    </w:p>
    <w:p w14:paraId="6F9D3169" w14:textId="77777777" w:rsidR="00A27AC2" w:rsidRDefault="009C0578" w:rsidP="00F236C4">
      <w:pPr>
        <w:numPr>
          <w:ilvl w:val="0"/>
          <w:numId w:val="13"/>
        </w:numPr>
        <w:ind w:right="-138"/>
        <w:rPr>
          <w:color w:val="000000"/>
        </w:rPr>
      </w:pPr>
      <w:r>
        <w:t>have appropriate written contracts or agreements with employees, agency staff, volunteers, and anyone with access to the personal data. These must include requirements for compliance with policies which include confidentiality and secure handling of personal data.</w:t>
      </w:r>
    </w:p>
    <w:p w14:paraId="7C7D8034" w14:textId="77777777" w:rsidR="00A27AC2" w:rsidRDefault="009C0578" w:rsidP="00F236C4">
      <w:pPr>
        <w:numPr>
          <w:ilvl w:val="0"/>
          <w:numId w:val="13"/>
        </w:numPr>
        <w:pBdr>
          <w:top w:val="nil"/>
          <w:left w:val="nil"/>
          <w:bottom w:val="nil"/>
          <w:right w:val="nil"/>
          <w:between w:val="nil"/>
        </w:pBdr>
        <w:spacing w:after="0"/>
        <w:ind w:right="-138"/>
        <w:rPr>
          <w:color w:val="000000"/>
        </w:rPr>
      </w:pPr>
      <w:r>
        <w:t>communicate this DSA to staff and instruct them to contact their organisation’s Data Protection Officer/Lead if they are unsure at any point about the sharing of personal data.</w:t>
      </w:r>
    </w:p>
    <w:p w14:paraId="75AC3CDB" w14:textId="77777777" w:rsidR="00A27AC2" w:rsidRDefault="009C0578" w:rsidP="00F236C4">
      <w:pPr>
        <w:numPr>
          <w:ilvl w:val="0"/>
          <w:numId w:val="13"/>
        </w:numPr>
        <w:pBdr>
          <w:top w:val="nil"/>
          <w:left w:val="nil"/>
          <w:bottom w:val="nil"/>
          <w:right w:val="nil"/>
          <w:between w:val="nil"/>
        </w:pBdr>
        <w:spacing w:before="0" w:after="0"/>
        <w:ind w:right="-138"/>
        <w:rPr>
          <w:color w:val="000000"/>
        </w:rPr>
      </w:pPr>
      <w:r>
        <w:t>help staff to understand their responsibilities, for example by directing them to the:</w:t>
      </w:r>
    </w:p>
    <w:p w14:paraId="6BA78209" w14:textId="77777777" w:rsidR="00A27AC2" w:rsidRDefault="00000000" w:rsidP="00F236C4">
      <w:pPr>
        <w:numPr>
          <w:ilvl w:val="1"/>
          <w:numId w:val="13"/>
        </w:numPr>
        <w:pBdr>
          <w:top w:val="nil"/>
          <w:left w:val="nil"/>
          <w:bottom w:val="nil"/>
          <w:right w:val="nil"/>
          <w:between w:val="nil"/>
        </w:pBdr>
        <w:spacing w:before="0" w:after="0"/>
        <w:ind w:right="-138"/>
      </w:pPr>
      <w:hyperlink r:id="rId12" w:anchor=":~:text=Check%20whether%20the%20sharing%20is%20justified&amp;text=%E2%98%90%20What%20is%20the%20sharing,the%20issue%20you%20are%20addressing%3F">
        <w:r w:rsidR="009C0578">
          <w:rPr>
            <w:color w:val="1155CC"/>
            <w:u w:val="single"/>
          </w:rPr>
          <w:t>ICO Data Sharing Checklist</w:t>
        </w:r>
      </w:hyperlink>
    </w:p>
    <w:p w14:paraId="14348371" w14:textId="77777777" w:rsidR="00A27AC2" w:rsidRDefault="00000000" w:rsidP="00F236C4">
      <w:pPr>
        <w:numPr>
          <w:ilvl w:val="1"/>
          <w:numId w:val="13"/>
        </w:numPr>
        <w:pBdr>
          <w:top w:val="nil"/>
          <w:left w:val="nil"/>
          <w:bottom w:val="nil"/>
          <w:right w:val="nil"/>
          <w:between w:val="nil"/>
        </w:pBdr>
        <w:spacing w:before="0"/>
        <w:ind w:right="-138"/>
      </w:pPr>
      <w:hyperlink r:id="rId13">
        <w:r w:rsidR="009C0578">
          <w:rPr>
            <w:color w:val="1155CC"/>
            <w:u w:val="single"/>
          </w:rPr>
          <w:t>ICO 10 step guide to sharing information to safeguard children</w:t>
        </w:r>
      </w:hyperlink>
    </w:p>
    <w:p w14:paraId="3DA33661" w14:textId="77777777" w:rsidR="00A27AC2" w:rsidRDefault="00A27AC2" w:rsidP="00CC5AE7"/>
    <w:p w14:paraId="396A0726" w14:textId="77777777" w:rsidR="00A27AC2" w:rsidRDefault="009C0578" w:rsidP="00F236C4">
      <w:pPr>
        <w:pStyle w:val="Heading2"/>
        <w:numPr>
          <w:ilvl w:val="1"/>
          <w:numId w:val="8"/>
        </w:numPr>
      </w:pPr>
      <w:bookmarkStart w:id="19" w:name="_Toc168982224"/>
      <w:r>
        <w:t>Review and termination</w:t>
      </w:r>
      <w:bookmarkEnd w:id="1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390"/>
        <w:gridCol w:w="5244"/>
      </w:tblGrid>
      <w:tr w:rsidR="00703F97" w14:paraId="0A7D0B4A" w14:textId="77777777" w:rsidTr="001572E6">
        <w:trPr>
          <w:trHeight w:hRule="exact" w:val="680"/>
        </w:trPr>
        <w:tc>
          <w:tcPr>
            <w:tcW w:w="4390" w:type="dxa"/>
            <w:shd w:val="clear" w:color="auto" w:fill="D9D9D9"/>
            <w:vAlign w:val="center"/>
          </w:tcPr>
          <w:p w14:paraId="73734820" w14:textId="3F04EE9D" w:rsidR="00703F97" w:rsidRPr="00703F97" w:rsidRDefault="00703F97" w:rsidP="00703F97">
            <w:pPr>
              <w:widowControl w:val="0"/>
              <w:spacing w:before="0" w:after="0" w:line="240" w:lineRule="auto"/>
              <w:rPr>
                <w:b/>
              </w:rPr>
            </w:pPr>
            <w:r w:rsidRPr="00703F97">
              <w:rPr>
                <w:b/>
              </w:rPr>
              <w:t>Publish/agreed date:</w:t>
            </w:r>
          </w:p>
        </w:tc>
        <w:tc>
          <w:tcPr>
            <w:tcW w:w="5244" w:type="dxa"/>
            <w:shd w:val="clear" w:color="auto" w:fill="FFFFFF" w:themeFill="background1"/>
            <w:vAlign w:val="center"/>
          </w:tcPr>
          <w:p w14:paraId="28A2D974" w14:textId="77777777" w:rsidR="00703F97" w:rsidRPr="008038B9" w:rsidRDefault="00703F97" w:rsidP="001572E6">
            <w:pPr>
              <w:widowControl w:val="0"/>
              <w:pBdr>
                <w:top w:val="nil"/>
                <w:left w:val="nil"/>
                <w:bottom w:val="nil"/>
                <w:right w:val="nil"/>
                <w:between w:val="nil"/>
              </w:pBdr>
              <w:spacing w:before="0" w:after="0" w:line="240" w:lineRule="auto"/>
            </w:pPr>
          </w:p>
        </w:tc>
      </w:tr>
      <w:tr w:rsidR="00703F97" w14:paraId="081BD92C" w14:textId="77777777" w:rsidTr="001572E6">
        <w:trPr>
          <w:trHeight w:hRule="exact" w:val="680"/>
        </w:trPr>
        <w:tc>
          <w:tcPr>
            <w:tcW w:w="4390" w:type="dxa"/>
            <w:shd w:val="clear" w:color="auto" w:fill="D9D9D9"/>
            <w:vAlign w:val="center"/>
          </w:tcPr>
          <w:p w14:paraId="7A26C8AE" w14:textId="77777777" w:rsidR="00703F97" w:rsidRDefault="00703F97" w:rsidP="001572E6">
            <w:pPr>
              <w:widowControl w:val="0"/>
              <w:pBdr>
                <w:top w:val="nil"/>
                <w:left w:val="nil"/>
                <w:bottom w:val="nil"/>
                <w:right w:val="nil"/>
                <w:between w:val="nil"/>
              </w:pBdr>
              <w:spacing w:before="0" w:after="0" w:line="240" w:lineRule="auto"/>
            </w:pPr>
            <w:r w:rsidRPr="00A43385">
              <w:rPr>
                <w:b/>
              </w:rPr>
              <w:t>Review date</w:t>
            </w:r>
          </w:p>
        </w:tc>
        <w:tc>
          <w:tcPr>
            <w:tcW w:w="5244" w:type="dxa"/>
            <w:shd w:val="clear" w:color="auto" w:fill="FFFFFF" w:themeFill="background1"/>
            <w:vAlign w:val="center"/>
          </w:tcPr>
          <w:p w14:paraId="3CEDC142" w14:textId="77777777" w:rsidR="00703F97" w:rsidRPr="008038B9" w:rsidRDefault="00703F97" w:rsidP="001572E6">
            <w:pPr>
              <w:widowControl w:val="0"/>
              <w:spacing w:before="0" w:after="0" w:line="240" w:lineRule="auto"/>
            </w:pPr>
          </w:p>
        </w:tc>
      </w:tr>
      <w:tr w:rsidR="00703F97" w14:paraId="1F5FE539" w14:textId="77777777" w:rsidTr="001572E6">
        <w:trPr>
          <w:trHeight w:hRule="exact" w:val="680"/>
        </w:trPr>
        <w:tc>
          <w:tcPr>
            <w:tcW w:w="4390" w:type="dxa"/>
            <w:shd w:val="clear" w:color="auto" w:fill="D9D9D9"/>
            <w:vAlign w:val="center"/>
          </w:tcPr>
          <w:p w14:paraId="2F671872" w14:textId="77777777" w:rsidR="00703F97" w:rsidRDefault="00703F97" w:rsidP="001572E6">
            <w:pPr>
              <w:widowControl w:val="0"/>
              <w:spacing w:before="0" w:after="0" w:line="240" w:lineRule="auto"/>
            </w:pPr>
            <w:r w:rsidRPr="00517122">
              <w:rPr>
                <w:b/>
              </w:rPr>
              <w:t>Termination Date (N/A if ongoing)</w:t>
            </w:r>
          </w:p>
        </w:tc>
        <w:tc>
          <w:tcPr>
            <w:tcW w:w="5244" w:type="dxa"/>
            <w:shd w:val="clear" w:color="auto" w:fill="FFFFFF" w:themeFill="background1"/>
            <w:vAlign w:val="center"/>
          </w:tcPr>
          <w:p w14:paraId="21218E61" w14:textId="77777777" w:rsidR="00703F97" w:rsidRPr="008038B9" w:rsidRDefault="00703F97" w:rsidP="001572E6">
            <w:pPr>
              <w:widowControl w:val="0"/>
              <w:pBdr>
                <w:top w:val="nil"/>
                <w:left w:val="nil"/>
                <w:bottom w:val="nil"/>
                <w:right w:val="nil"/>
                <w:between w:val="nil"/>
              </w:pBdr>
              <w:spacing w:before="0" w:after="0" w:line="240" w:lineRule="auto"/>
            </w:pPr>
            <w:r w:rsidRPr="008038B9">
              <w:rPr>
                <w:bCs/>
              </w:rPr>
              <w:t>Agreement will end when the CP confirms that the digital switchover is complete.</w:t>
            </w:r>
          </w:p>
        </w:tc>
      </w:tr>
    </w:tbl>
    <w:p w14:paraId="6DD1A569" w14:textId="77777777" w:rsidR="00703F97" w:rsidRDefault="00703F97" w:rsidP="00CC5AE7">
      <w:pPr>
        <w:rPr>
          <w:color w:val="000000"/>
        </w:rPr>
      </w:pPr>
    </w:p>
    <w:p w14:paraId="5495F8CD" w14:textId="77777777" w:rsidR="00703F97" w:rsidRDefault="00703F97">
      <w:pPr>
        <w:rPr>
          <w:color w:val="000000"/>
        </w:rPr>
      </w:pPr>
      <w:r>
        <w:rPr>
          <w:color w:val="000000"/>
        </w:rPr>
        <w:br w:type="page"/>
      </w:r>
    </w:p>
    <w:p w14:paraId="2F9AF6CB" w14:textId="17805DC8" w:rsidR="004F7C0B" w:rsidRDefault="006D711D" w:rsidP="00CC5AE7">
      <w:pPr>
        <w:rPr>
          <w:color w:val="000000"/>
        </w:rPr>
      </w:pPr>
      <w:r w:rsidRPr="18324EA3">
        <w:rPr>
          <w:color w:val="000000" w:themeColor="text1"/>
        </w:rPr>
        <w:lastRenderedPageBreak/>
        <w:t xml:space="preserve">The Agreement shall take effect on the date agreed and will last until </w:t>
      </w:r>
      <w:r w:rsidRPr="18324EA3">
        <w:rPr>
          <w:color w:val="000000" w:themeColor="text1"/>
          <w:highlight w:val="yellow"/>
        </w:rPr>
        <w:t>[</w:t>
      </w:r>
      <w:r w:rsidR="00605B76" w:rsidRPr="18324EA3">
        <w:rPr>
          <w:color w:val="000000" w:themeColor="text1"/>
          <w:highlight w:val="yellow"/>
        </w:rPr>
        <w:t xml:space="preserve">Insert </w:t>
      </w:r>
      <w:r w:rsidR="0071632C" w:rsidRPr="18324EA3">
        <w:rPr>
          <w:color w:val="000000" w:themeColor="text1"/>
          <w:highlight w:val="yellow"/>
        </w:rPr>
        <w:t>communication</w:t>
      </w:r>
      <w:r w:rsidRPr="18324EA3">
        <w:rPr>
          <w:color w:val="000000" w:themeColor="text1"/>
          <w:highlight w:val="yellow"/>
        </w:rPr>
        <w:t>s provider]</w:t>
      </w:r>
      <w:r w:rsidRPr="18324EA3">
        <w:rPr>
          <w:color w:val="000000" w:themeColor="text1"/>
        </w:rPr>
        <w:t xml:space="preserve"> confirms to the </w:t>
      </w:r>
      <w:r w:rsidRPr="18324EA3">
        <w:rPr>
          <w:color w:val="000000" w:themeColor="text1"/>
          <w:highlight w:val="yellow"/>
        </w:rPr>
        <w:t>[</w:t>
      </w:r>
      <w:r w:rsidR="00605B76" w:rsidRPr="18324EA3">
        <w:rPr>
          <w:color w:val="000000" w:themeColor="text1"/>
          <w:highlight w:val="yellow"/>
        </w:rPr>
        <w:t xml:space="preserve">Insert </w:t>
      </w:r>
      <w:r w:rsidRPr="18324EA3">
        <w:rPr>
          <w:color w:val="000000" w:themeColor="text1"/>
          <w:highlight w:val="yellow"/>
        </w:rPr>
        <w:t>local authority]</w:t>
      </w:r>
      <w:r w:rsidRPr="18324EA3">
        <w:rPr>
          <w:color w:val="000000" w:themeColor="text1"/>
        </w:rPr>
        <w:t xml:space="preserve"> in writing that the Digital Switchover has been completed</w:t>
      </w:r>
      <w:r w:rsidR="00311D7D" w:rsidRPr="18324EA3">
        <w:rPr>
          <w:color w:val="000000" w:themeColor="text1"/>
        </w:rPr>
        <w:t xml:space="preserve"> </w:t>
      </w:r>
      <w:proofErr w:type="spellStart"/>
      <w:r w:rsidR="00311D7D" w:rsidRPr="18324EA3">
        <w:rPr>
          <w:color w:val="000000" w:themeColor="text1"/>
        </w:rPr>
        <w:t>ie</w:t>
      </w:r>
      <w:proofErr w:type="spellEnd"/>
      <w:r w:rsidR="00311D7D" w:rsidRPr="18324EA3">
        <w:rPr>
          <w:color w:val="000000" w:themeColor="text1"/>
        </w:rPr>
        <w:t xml:space="preserve"> that the CP has migrated all numbers</w:t>
      </w:r>
      <w:r w:rsidRPr="18324EA3">
        <w:rPr>
          <w:color w:val="000000" w:themeColor="text1"/>
        </w:rPr>
        <w:t>.</w:t>
      </w:r>
    </w:p>
    <w:p w14:paraId="242E121D" w14:textId="487E3400" w:rsidR="18324EA3" w:rsidRDefault="18324EA3" w:rsidP="18324EA3">
      <w:pPr>
        <w:rPr>
          <w:color w:val="000000" w:themeColor="text1"/>
        </w:rPr>
      </w:pPr>
    </w:p>
    <w:p w14:paraId="667620DE" w14:textId="77777777" w:rsidR="00A27AC2" w:rsidRDefault="009C0578" w:rsidP="00F236C4">
      <w:pPr>
        <w:pStyle w:val="Heading1"/>
        <w:numPr>
          <w:ilvl w:val="0"/>
          <w:numId w:val="8"/>
        </w:numPr>
      </w:pPr>
      <w:bookmarkStart w:id="20" w:name="_Toc168982225"/>
      <w:r>
        <w:t>Purpose and Benefits</w:t>
      </w:r>
      <w:bookmarkEnd w:id="20"/>
    </w:p>
    <w:p w14:paraId="5CD7C95A" w14:textId="77777777" w:rsidR="00A27AC2" w:rsidRDefault="00A27AC2" w:rsidP="00CC5AE7">
      <w:pPr>
        <w:rPr>
          <w:color w:val="000000"/>
        </w:rPr>
      </w:pPr>
    </w:p>
    <w:p w14:paraId="5D546054" w14:textId="77777777" w:rsidR="00A27AC2" w:rsidRDefault="009C0578" w:rsidP="00F236C4">
      <w:pPr>
        <w:pStyle w:val="Heading2"/>
        <w:numPr>
          <w:ilvl w:val="1"/>
          <w:numId w:val="8"/>
        </w:numPr>
      </w:pPr>
      <w:bookmarkStart w:id="21" w:name="_Toc168982226"/>
      <w:r>
        <w:t>Purpose</w:t>
      </w:r>
      <w:bookmarkEnd w:id="21"/>
    </w:p>
    <w:p w14:paraId="0900602B" w14:textId="77777777" w:rsidR="00A27AC2" w:rsidRDefault="009C0578" w:rsidP="00CC5AE7">
      <w:pPr>
        <w:rPr>
          <w:highlight w:val="yellow"/>
        </w:rPr>
      </w:pPr>
      <w:r>
        <w:rPr>
          <w:color w:val="000000"/>
        </w:rPr>
        <w:t>The purposes of th</w:t>
      </w:r>
      <w:r>
        <w:t>e data sharing may differ between the parties.</w:t>
      </w:r>
    </w:p>
    <w:p w14:paraId="6E760971" w14:textId="77777777" w:rsidR="00A27AC2" w:rsidRDefault="00A27AC2" w:rsidP="00CC5AE7">
      <w:pPr>
        <w:rPr>
          <w:highlight w:val="yellow"/>
        </w:rPr>
      </w:pPr>
    </w:p>
    <w:p w14:paraId="41551A41" w14:textId="038617DE" w:rsidR="00A27AC2" w:rsidRDefault="009C0578" w:rsidP="00CC5AE7">
      <w:pPr>
        <w:spacing w:before="0" w:line="276" w:lineRule="auto"/>
      </w:pPr>
      <w:r>
        <w:rPr>
          <w:b/>
        </w:rPr>
        <w:t>Describe purposes and their origin</w:t>
      </w:r>
      <w:r>
        <w:t xml:space="preserve"> - Insert full description of purposes for each party or type of party, including description of specific legislation or statutory guidance requirements. Explain why you cannot achieve these aims without sharing the personal data.</w:t>
      </w:r>
      <w:r w:rsidR="0013175C">
        <w:br/>
      </w:r>
    </w:p>
    <w:p w14:paraId="6003DE51" w14:textId="77777777" w:rsidR="0013175C" w:rsidRPr="0013175C" w:rsidRDefault="0013175C" w:rsidP="00CC5AE7">
      <w:pPr>
        <w:pStyle w:val="Heading3"/>
        <w:ind w:left="0"/>
        <w:rPr>
          <w:color w:val="auto"/>
          <w:sz w:val="22"/>
          <w:szCs w:val="22"/>
        </w:rPr>
      </w:pPr>
      <w:bookmarkStart w:id="22" w:name="_Toc168411273"/>
      <w:bookmarkStart w:id="23" w:name="_Toc168982227"/>
      <w:r w:rsidRPr="0013175C">
        <w:rPr>
          <w:color w:val="auto"/>
          <w:sz w:val="22"/>
          <w:szCs w:val="22"/>
        </w:rPr>
        <w:t>Background</w:t>
      </w:r>
      <w:bookmarkEnd w:id="22"/>
      <w:bookmarkEnd w:id="23"/>
    </w:p>
    <w:p w14:paraId="0F74A42B" w14:textId="77777777" w:rsidR="0013175C" w:rsidRDefault="0013175C" w:rsidP="00CC5AE7">
      <w:pPr>
        <w:spacing w:before="0" w:after="0" w:line="276" w:lineRule="auto"/>
      </w:pPr>
      <w:r>
        <w:t>Communications providers operate Public Switch Telephone Networks (PSTN) to provide individuals in the United Kingdom with a fixed voice telephony service. Companies are migrating the existing PSTN to a new digital approach called Voice over IP Network (VOIP). This activity is known as the Digital Switchover.</w:t>
      </w:r>
    </w:p>
    <w:p w14:paraId="08CAB7D4" w14:textId="77777777" w:rsidR="0013175C" w:rsidRDefault="0013175C" w:rsidP="00CC5AE7">
      <w:pPr>
        <w:spacing w:before="0" w:after="0" w:line="276" w:lineRule="auto"/>
        <w:ind w:left="720"/>
      </w:pPr>
    </w:p>
    <w:p w14:paraId="63FAE7F3" w14:textId="77777777" w:rsidR="0013175C" w:rsidRDefault="0013175C" w:rsidP="00CC5AE7">
      <w:pPr>
        <w:spacing w:before="0" w:after="0" w:line="276" w:lineRule="auto"/>
      </w:pPr>
      <w:r>
        <w:t xml:space="preserve">Ancillary services traditionally connected to the telephone network (telecare), such as analogue telehealth care pendants, auto diallers and assistive technology, may require upgrading and/or additional equipment to ensure that the service continues to work. </w:t>
      </w:r>
    </w:p>
    <w:p w14:paraId="2BA14E5D" w14:textId="77777777" w:rsidR="0013175C" w:rsidRDefault="0013175C" w:rsidP="00CC5AE7">
      <w:pPr>
        <w:spacing w:before="0" w:after="0" w:line="276" w:lineRule="auto"/>
        <w:ind w:left="720"/>
      </w:pPr>
    </w:p>
    <w:p w14:paraId="66480DA4" w14:textId="77777777" w:rsidR="0013175C" w:rsidRDefault="0013175C" w:rsidP="00CC5AE7">
      <w:pPr>
        <w:spacing w:before="0" w:after="0" w:line="276" w:lineRule="auto"/>
      </w:pPr>
      <w:r>
        <w:t>Communications providers are unable to directly identify users of telecare services within their customer base and have to rely on customers or their representatives self-identifying.  Not all customers do this.</w:t>
      </w:r>
    </w:p>
    <w:p w14:paraId="75402DD5" w14:textId="77777777" w:rsidR="0013175C" w:rsidRDefault="0013175C" w:rsidP="00CC5AE7">
      <w:pPr>
        <w:spacing w:before="0" w:after="0" w:line="276" w:lineRule="auto"/>
      </w:pPr>
    </w:p>
    <w:p w14:paraId="3A2B3BBE" w14:textId="5F7D94DF" w:rsidR="0013175C" w:rsidRDefault="0013175C" w:rsidP="00CC5AE7">
      <w:pPr>
        <w:spacing w:before="0" w:after="0" w:line="276" w:lineRule="auto"/>
      </w:pPr>
      <w:r>
        <w:t xml:space="preserve">Communications providers have a duty to understand the impact of how the digital shift will impact clients who use these services and minimise any potential adverse effect on them. </w:t>
      </w:r>
    </w:p>
    <w:p w14:paraId="279FA923" w14:textId="77777777" w:rsidR="0013175C" w:rsidRDefault="0013175C" w:rsidP="00CC5AE7">
      <w:pPr>
        <w:spacing w:before="0" w:after="0" w:line="276" w:lineRule="auto"/>
      </w:pPr>
    </w:p>
    <w:p w14:paraId="332877A3" w14:textId="77777777" w:rsidR="0013175C" w:rsidRDefault="0013175C" w:rsidP="00CC5AE7">
      <w:pPr>
        <w:spacing w:before="0" w:after="0" w:line="276" w:lineRule="auto"/>
      </w:pPr>
      <w:r>
        <w:t xml:space="preserve">Telecare (device) Service Providers are working on solutions to notify and upgrade their services to ensure continuity of their services but due to the particularly vulnerable nature of the users and the speed of the national change it is necessary to identify these customers as a matter of priority to ensure their safety (and avoid any loss of Telecare Services). </w:t>
      </w:r>
    </w:p>
    <w:p w14:paraId="32826C7A" w14:textId="77777777" w:rsidR="0013175C" w:rsidRDefault="0013175C" w:rsidP="00CC5AE7">
      <w:pPr>
        <w:spacing w:before="0" w:after="0" w:line="276" w:lineRule="auto"/>
      </w:pPr>
    </w:p>
    <w:p w14:paraId="50884A01" w14:textId="77777777" w:rsidR="0013175C" w:rsidRDefault="0013175C" w:rsidP="00CC5AE7">
      <w:pPr>
        <w:spacing w:before="0" w:after="0" w:line="276" w:lineRule="auto"/>
      </w:pPr>
      <w:r>
        <w:t xml:space="preserve">The switchover process has begun and has left some vulnerable customers unable to access emergency services and use their telecare devices. The Technology Secretary met with the UK’s leading telecoms providers in December 2023, including Sky, BT, VMO2 and TalkTalk, to discuss urgent mitigations to reduce the likelihood of further incidents and protect vulnerable individuals, including the elderly. </w:t>
      </w:r>
    </w:p>
    <w:p w14:paraId="178BDF5C" w14:textId="77777777" w:rsidR="0013175C" w:rsidRDefault="0013175C" w:rsidP="00CC5AE7">
      <w:pPr>
        <w:spacing w:before="0" w:after="0" w:line="276" w:lineRule="auto"/>
        <w:ind w:left="720"/>
      </w:pPr>
    </w:p>
    <w:p w14:paraId="6C047B79" w14:textId="77777777" w:rsidR="0013175C" w:rsidRDefault="0013175C" w:rsidP="00CC5AE7">
      <w:pPr>
        <w:spacing w:before="0" w:after="0" w:line="276" w:lineRule="auto"/>
      </w:pPr>
      <w:r>
        <w:t>These communications providers signed a Charter committing to concrete measures to protect vulnerable households, particularly those using personal alarms, known as telecare, which offer remote support to elderly, disabled, and vulnerable people – with many located in rural and isolated areas.</w:t>
      </w:r>
    </w:p>
    <w:p w14:paraId="0301D3DC" w14:textId="77777777" w:rsidR="0013175C" w:rsidRDefault="0013175C" w:rsidP="00CC5AE7">
      <w:pPr>
        <w:spacing w:before="0" w:after="0" w:line="276" w:lineRule="auto"/>
        <w:rPr>
          <w:sz w:val="24"/>
          <w:szCs w:val="24"/>
        </w:rPr>
      </w:pPr>
    </w:p>
    <w:p w14:paraId="78295EFC" w14:textId="77777777" w:rsidR="0013175C" w:rsidRDefault="0013175C" w:rsidP="00CC5AE7">
      <w:pPr>
        <w:spacing w:before="0" w:after="0" w:line="276" w:lineRule="auto"/>
      </w:pPr>
      <w:r>
        <w:lastRenderedPageBreak/>
        <w:t xml:space="preserve">Providers will be required to work to provide back-up solutions that go beyond regulator Ofcom’s minimum of one hour of continued, uninterrupted access to emergency services in the event of a power outage.  </w:t>
      </w:r>
    </w:p>
    <w:p w14:paraId="662DCF00" w14:textId="77777777" w:rsidR="0013175C" w:rsidRDefault="0013175C" w:rsidP="00CC5AE7">
      <w:pPr>
        <w:spacing w:before="0" w:after="0" w:line="276" w:lineRule="auto"/>
      </w:pPr>
    </w:p>
    <w:p w14:paraId="066B21AC" w14:textId="4E38125D" w:rsidR="0013175C" w:rsidRDefault="0013175C" w:rsidP="00CC5AE7">
      <w:pPr>
        <w:spacing w:before="0" w:after="0" w:line="276" w:lineRule="auto"/>
      </w:pPr>
      <w:r>
        <w:t>They will collectively work with Ofcom and the UK government to agree a shared definition of ‘vulnerable people’ for this transition, so it is no longer dependent on the company and establishes an industry wide standard.  Government will also continue to work with the telecare sector to reduce risk for users during the digital transition.</w:t>
      </w:r>
      <w:r>
        <w:br/>
      </w:r>
    </w:p>
    <w:p w14:paraId="56F781D3" w14:textId="77777777" w:rsidR="0013175C" w:rsidRPr="0013175C" w:rsidRDefault="0013175C" w:rsidP="00CC5AE7">
      <w:pPr>
        <w:pStyle w:val="Heading3"/>
        <w:ind w:left="0"/>
        <w:rPr>
          <w:color w:val="auto"/>
          <w:sz w:val="22"/>
          <w:szCs w:val="22"/>
        </w:rPr>
      </w:pPr>
      <w:bookmarkStart w:id="24" w:name="_Toc168411274"/>
      <w:bookmarkStart w:id="25" w:name="_Toc168982228"/>
      <w:r w:rsidRPr="0013175C">
        <w:rPr>
          <w:color w:val="auto"/>
          <w:sz w:val="22"/>
          <w:szCs w:val="22"/>
        </w:rPr>
        <w:t>Purpose</w:t>
      </w:r>
      <w:bookmarkEnd w:id="24"/>
      <w:bookmarkEnd w:id="25"/>
    </w:p>
    <w:p w14:paraId="703C5A49" w14:textId="77777777" w:rsidR="0013175C" w:rsidRDefault="0013175C" w:rsidP="00CC5AE7">
      <w:pPr>
        <w:spacing w:before="0" w:after="0" w:line="276" w:lineRule="auto"/>
      </w:pPr>
      <w:r>
        <w:t xml:space="preserve">Where an individual is receiving support from a local authority adult social care (ASC) department, the authority is usually aware of the use of telecare devices or similar. One way for communications providers to identify individuals using telecare devices is to receive a list of users from the local authority. Data sharing between ASC departments and communications providers will also allow the provider to conduct additional checks on customers who have already been forcibly migrated to ensure they do not have telecare devices the provider was unaware of, and if they do, to ensure suitable support is provided.  </w:t>
      </w:r>
    </w:p>
    <w:p w14:paraId="56608C2B" w14:textId="77777777" w:rsidR="0013175C" w:rsidRDefault="0013175C" w:rsidP="00CC5AE7">
      <w:pPr>
        <w:spacing w:before="0" w:after="0" w:line="276" w:lineRule="auto"/>
      </w:pPr>
    </w:p>
    <w:p w14:paraId="50EE2BF5" w14:textId="77777777" w:rsidR="0013175C" w:rsidRDefault="0013175C" w:rsidP="00CC5AE7">
      <w:pPr>
        <w:spacing w:before="0" w:after="0" w:line="276" w:lineRule="auto"/>
      </w:pPr>
      <w:r>
        <w:t xml:space="preserve">No telecare users will be migrated to digital landline services without the provider, customer, or telecare company confirming they have a compatible and functioning telecare solution in place. </w:t>
      </w:r>
    </w:p>
    <w:p w14:paraId="5C1923C7" w14:textId="77777777" w:rsidR="0013175C" w:rsidRDefault="0013175C" w:rsidP="00CC5AE7">
      <w:pPr>
        <w:spacing w:before="360" w:after="360" w:line="276" w:lineRule="auto"/>
        <w:rPr>
          <w:b/>
        </w:rPr>
      </w:pPr>
      <w:r>
        <w:t>Communications providers are asking local authorities to share the phone numbers of ASC service users to match against the numbers the company manages. The company will then approach these clients to offer support and undertake actions and to make the necessary system and account changes to ensure the telecare service continues to operate when the Voice Service is provided over the VOIP network</w:t>
      </w:r>
      <w:r>
        <w:rPr>
          <w:rFonts w:ascii="Calibri" w:eastAsia="Calibri" w:hAnsi="Calibri" w:cs="Calibri"/>
        </w:rPr>
        <w:t>.</w:t>
      </w:r>
    </w:p>
    <w:p w14:paraId="6294B5EA" w14:textId="77777777" w:rsidR="00A27AC2" w:rsidRDefault="00A27AC2" w:rsidP="00CC5AE7"/>
    <w:p w14:paraId="7E13AAF2" w14:textId="77777777" w:rsidR="00A27AC2" w:rsidRDefault="009C0578" w:rsidP="00F236C4">
      <w:pPr>
        <w:pStyle w:val="Heading2"/>
        <w:numPr>
          <w:ilvl w:val="1"/>
          <w:numId w:val="8"/>
        </w:numPr>
      </w:pPr>
      <w:bookmarkStart w:id="26" w:name="_Toc168982229"/>
      <w:r>
        <w:t>Benefits</w:t>
      </w:r>
      <w:bookmarkEnd w:id="26"/>
    </w:p>
    <w:p w14:paraId="121EA460" w14:textId="77777777" w:rsidR="009A4A49" w:rsidRPr="00AF7920" w:rsidRDefault="009A4A49" w:rsidP="00CC5AE7">
      <w:pPr>
        <w:pStyle w:val="Heading3"/>
        <w:ind w:left="0"/>
        <w:rPr>
          <w:color w:val="auto"/>
        </w:rPr>
      </w:pPr>
      <w:bookmarkStart w:id="27" w:name="_Toc168411276"/>
      <w:bookmarkStart w:id="28" w:name="_Toc168982230"/>
      <w:r w:rsidRPr="00AF7920">
        <w:rPr>
          <w:color w:val="auto"/>
        </w:rPr>
        <w:t>Individuals</w:t>
      </w:r>
      <w:bookmarkEnd w:id="27"/>
      <w:bookmarkEnd w:id="28"/>
    </w:p>
    <w:p w14:paraId="3C94AF5F" w14:textId="77777777" w:rsidR="009A4A49" w:rsidRDefault="009A4A49" w:rsidP="00CC5AE7">
      <w:pPr>
        <w:spacing w:before="280" w:after="120" w:line="276" w:lineRule="auto"/>
        <w:jc w:val="both"/>
        <w:rPr>
          <w:sz w:val="20"/>
          <w:szCs w:val="20"/>
          <w:highlight w:val="yellow"/>
        </w:rPr>
      </w:pPr>
      <w:r>
        <w:t>The data sharing will allow communications providers to better identify those individuals who use telecare devices and may be at risk from the digital switchover. Individuals benefit from personalised support to reduce potential harm from telecare devices not working after the digital switchover.</w:t>
      </w:r>
    </w:p>
    <w:p w14:paraId="2F18A7B4" w14:textId="77777777" w:rsidR="009A4A49" w:rsidRPr="001411DB" w:rsidRDefault="009A4A49" w:rsidP="00CC5AE7">
      <w:pPr>
        <w:pStyle w:val="Heading3"/>
        <w:ind w:left="0"/>
        <w:rPr>
          <w:color w:val="auto"/>
          <w:sz w:val="22"/>
          <w:szCs w:val="22"/>
        </w:rPr>
      </w:pPr>
      <w:bookmarkStart w:id="29" w:name="_Toc168411277"/>
      <w:bookmarkStart w:id="30" w:name="_Toc168982231"/>
      <w:r w:rsidRPr="00AF7920">
        <w:rPr>
          <w:color w:val="auto"/>
        </w:rPr>
        <w:t>Parties</w:t>
      </w:r>
      <w:r w:rsidRPr="001411DB">
        <w:rPr>
          <w:color w:val="auto"/>
          <w:sz w:val="22"/>
          <w:szCs w:val="22"/>
        </w:rPr>
        <w:t xml:space="preserve"> </w:t>
      </w:r>
      <w:r w:rsidRPr="001411DB">
        <w:rPr>
          <w:b w:val="0"/>
          <w:bCs/>
          <w:color w:val="auto"/>
          <w:sz w:val="22"/>
          <w:szCs w:val="22"/>
        </w:rPr>
        <w:t>(name the relevant party and the benefit)</w:t>
      </w:r>
      <w:bookmarkEnd w:id="29"/>
      <w:bookmarkEnd w:id="30"/>
    </w:p>
    <w:p w14:paraId="5FE67636" w14:textId="77777777" w:rsidR="009A4A49" w:rsidRPr="00AF7920" w:rsidRDefault="009A4A49" w:rsidP="00CC5AE7">
      <w:pPr>
        <w:pStyle w:val="Heading4"/>
      </w:pPr>
      <w:bookmarkStart w:id="31" w:name="_Toc168411278"/>
      <w:bookmarkStart w:id="32" w:name="_Toc168982232"/>
      <w:r w:rsidRPr="00AF7920">
        <w:t>Communications provider</w:t>
      </w:r>
      <w:bookmarkEnd w:id="31"/>
      <w:bookmarkEnd w:id="32"/>
    </w:p>
    <w:p w14:paraId="2751DCF2" w14:textId="77777777" w:rsidR="009A4A49" w:rsidRDefault="009A4A49" w:rsidP="00CC5AE7">
      <w:pPr>
        <w:spacing w:before="280" w:after="120" w:line="276" w:lineRule="auto"/>
        <w:jc w:val="both"/>
        <w:rPr>
          <w:highlight w:val="yellow"/>
        </w:rPr>
      </w:pPr>
      <w:r>
        <w:t>The sharing allows the communications companies to support vulnerable clients and comply with Ofcom guidance on Treating Vulnerable Customers Fairly (2022).</w:t>
      </w:r>
    </w:p>
    <w:p w14:paraId="3607450F" w14:textId="77777777" w:rsidR="009A4A49" w:rsidRDefault="009A4A49" w:rsidP="00CC5AE7">
      <w:pPr>
        <w:pStyle w:val="Heading4"/>
      </w:pPr>
      <w:bookmarkStart w:id="33" w:name="_Toc168411279"/>
      <w:bookmarkStart w:id="34" w:name="_Toc168982233"/>
      <w:r>
        <w:t>Local authority</w:t>
      </w:r>
      <w:bookmarkEnd w:id="33"/>
      <w:bookmarkEnd w:id="34"/>
    </w:p>
    <w:p w14:paraId="4FF11562" w14:textId="77777777" w:rsidR="009A4A49" w:rsidRDefault="009A4A49" w:rsidP="00CC5AE7">
      <w:pPr>
        <w:spacing w:before="280" w:after="120" w:line="276" w:lineRule="auto"/>
        <w:jc w:val="both"/>
        <w:rPr>
          <w:highlight w:val="yellow"/>
        </w:rPr>
      </w:pPr>
      <w:r>
        <w:t>The sharing allows local authorities to meet their duties under the Care Act 2014 to protect vulnerable individuals and promote their wellbeing.</w:t>
      </w:r>
    </w:p>
    <w:p w14:paraId="6ECE2EA2" w14:textId="77777777" w:rsidR="009A4A49" w:rsidRDefault="009A4A49" w:rsidP="00CC5AE7">
      <w:pPr>
        <w:pStyle w:val="Heading4"/>
      </w:pPr>
      <w:bookmarkStart w:id="35" w:name="_Toc168411280"/>
      <w:bookmarkStart w:id="36" w:name="_Toc168982234"/>
      <w:r>
        <w:t>Society</w:t>
      </w:r>
      <w:bookmarkEnd w:id="35"/>
      <w:bookmarkEnd w:id="36"/>
    </w:p>
    <w:p w14:paraId="76DFFB7A" w14:textId="77777777" w:rsidR="009A4A49" w:rsidRDefault="009A4A49" w:rsidP="00CC5AE7">
      <w:pPr>
        <w:rPr>
          <w:highlight w:val="yellow"/>
        </w:rPr>
      </w:pPr>
      <w:r>
        <w:t>The protection of vulnerable individuals.</w:t>
      </w:r>
    </w:p>
    <w:p w14:paraId="7DFFAABF" w14:textId="77777777" w:rsidR="00A27AC2" w:rsidRDefault="00A27AC2" w:rsidP="00CC5AE7">
      <w:pPr>
        <w:pBdr>
          <w:top w:val="nil"/>
          <w:left w:val="nil"/>
          <w:bottom w:val="nil"/>
          <w:right w:val="nil"/>
          <w:between w:val="nil"/>
        </w:pBdr>
      </w:pPr>
    </w:p>
    <w:p w14:paraId="54466662" w14:textId="77777777" w:rsidR="00A27AC2" w:rsidRDefault="009C0578" w:rsidP="00F236C4">
      <w:pPr>
        <w:pStyle w:val="Heading2"/>
        <w:numPr>
          <w:ilvl w:val="1"/>
          <w:numId w:val="8"/>
        </w:numPr>
      </w:pPr>
      <w:bookmarkStart w:id="37" w:name="_Toc168982235"/>
      <w:r>
        <w:t>Data Protection Impact Assessment (DPIA)</w:t>
      </w:r>
      <w:bookmarkEnd w:id="37"/>
    </w:p>
    <w:p w14:paraId="29F76AF4" w14:textId="1ABA5982" w:rsidR="00F40D63" w:rsidRPr="009A3A39" w:rsidRDefault="009C0578" w:rsidP="00CC5AE7">
      <w:pPr>
        <w:rPr>
          <w:highlight w:val="yellow"/>
        </w:rPr>
      </w:pPr>
      <w:r w:rsidRPr="009A3A39">
        <w:rPr>
          <w:highlight w:val="yellow"/>
        </w:rPr>
        <w:t xml:space="preserve">A DPIA has </w:t>
      </w:r>
      <w:r w:rsidR="009A3A39" w:rsidRPr="009A3A39">
        <w:rPr>
          <w:highlight w:val="yellow"/>
        </w:rPr>
        <w:t>been undertaken by [</w:t>
      </w:r>
      <w:r w:rsidR="00CC7B16">
        <w:rPr>
          <w:highlight w:val="yellow"/>
        </w:rPr>
        <w:t>Insert organisation name</w:t>
      </w:r>
      <w:r w:rsidR="009A3A39" w:rsidRPr="009A3A39">
        <w:rPr>
          <w:highlight w:val="yellow"/>
        </w:rPr>
        <w:t>].</w:t>
      </w:r>
    </w:p>
    <w:p w14:paraId="2BD2A754" w14:textId="56B13D4B" w:rsidR="00A27AC2" w:rsidRDefault="009A3A39" w:rsidP="00CC5AE7">
      <w:r w:rsidRPr="009A3A39">
        <w:rPr>
          <w:highlight w:val="yellow"/>
        </w:rPr>
        <w:t xml:space="preserve">A DPIA has </w:t>
      </w:r>
      <w:r w:rsidR="009C0578" w:rsidRPr="009A3A39">
        <w:rPr>
          <w:highlight w:val="yellow"/>
        </w:rPr>
        <w:t xml:space="preserve">not been completed </w:t>
      </w:r>
      <w:r w:rsidRPr="009A3A39">
        <w:rPr>
          <w:highlight w:val="yellow"/>
        </w:rPr>
        <w:t>by [</w:t>
      </w:r>
      <w:r w:rsidR="00CC7B16">
        <w:rPr>
          <w:highlight w:val="yellow"/>
        </w:rPr>
        <w:t>Insert organisation name</w:t>
      </w:r>
      <w:r w:rsidRPr="009A3A39">
        <w:rPr>
          <w:highlight w:val="yellow"/>
        </w:rPr>
        <w:t xml:space="preserve">] </w:t>
      </w:r>
      <w:r w:rsidR="009C0578" w:rsidRPr="009A3A39">
        <w:rPr>
          <w:highlight w:val="yellow"/>
        </w:rPr>
        <w:t>for this DSA as the criteria are not met.</w:t>
      </w:r>
    </w:p>
    <w:p w14:paraId="4B6A004E" w14:textId="77777777" w:rsidR="00A27AC2" w:rsidRDefault="00A27AC2" w:rsidP="00CC5AE7"/>
    <w:p w14:paraId="3C9A926B" w14:textId="2AFF3EB5" w:rsidR="00A27AC2" w:rsidRDefault="009C0578" w:rsidP="00F236C4">
      <w:pPr>
        <w:pStyle w:val="Heading2"/>
        <w:numPr>
          <w:ilvl w:val="1"/>
          <w:numId w:val="17"/>
        </w:numPr>
        <w:ind w:left="709"/>
      </w:pPr>
      <w:bookmarkStart w:id="38" w:name="_Toc168982236"/>
      <w:r>
        <w:t>Lawful Basis</w:t>
      </w:r>
      <w:bookmarkEnd w:id="38"/>
    </w:p>
    <w:p w14:paraId="10EFE3CC" w14:textId="77777777" w:rsidR="00A27AC2" w:rsidRDefault="009C0578" w:rsidP="00CC5AE7">
      <w:r>
        <w:t>Each party must have a suitable lawful basis for processing personal data that has been agreed by that organisation’s Data Protection Officer/Information Governance Manager. All parties agree that they have an appropriate policy document in place when processing special category or criminal data.</w:t>
      </w:r>
    </w:p>
    <w:p w14:paraId="5E02C32D" w14:textId="1B35E0C7" w:rsidR="00A27AC2" w:rsidRDefault="00A27AC2" w:rsidP="00CC5AE7"/>
    <w:p w14:paraId="2B068CC9" w14:textId="641E2304" w:rsidR="00A27AC2" w:rsidRDefault="00C6346C" w:rsidP="00CC5AE7">
      <w:pPr>
        <w:pStyle w:val="Heading3"/>
        <w:ind w:left="0"/>
      </w:pPr>
      <w:bookmarkStart w:id="39" w:name="_Toc168982237"/>
      <w:r>
        <w:t xml:space="preserve">2.4.1 </w:t>
      </w:r>
      <w:r w:rsidR="009C0578">
        <w:t>Part 2 processing</w:t>
      </w:r>
      <w:bookmarkEnd w:id="39"/>
    </w:p>
    <w:p w14:paraId="3553C307" w14:textId="77777777" w:rsidR="00A27AC2" w:rsidRDefault="009C0578" w:rsidP="00CC5AE7">
      <w:pPr>
        <w:pBdr>
          <w:top w:val="nil"/>
          <w:left w:val="nil"/>
          <w:bottom w:val="nil"/>
          <w:right w:val="nil"/>
          <w:between w:val="nil"/>
        </w:pBdr>
      </w:pPr>
      <w:r>
        <w:t xml:space="preserve">For processing personal data the UK GDPR lists lawful basis conditions in Article 6 (personal data) and Article 9 (special category data) that must be identified to cover the processing. Part 2 of the Data Protection Act 2018 (DPA 2018) covers general processing. When processing special category data, a condition from Schedule 1 Part 1, or Schedule 1 Part 2 of the DPA 2018 must be identified. </w:t>
      </w:r>
    </w:p>
    <w:p w14:paraId="696DAC5F" w14:textId="77777777" w:rsidR="00A27AC2" w:rsidRDefault="009C0578" w:rsidP="00CC5AE7">
      <w:pPr>
        <w:pBdr>
          <w:top w:val="nil"/>
          <w:left w:val="nil"/>
          <w:bottom w:val="nil"/>
          <w:right w:val="nil"/>
          <w:between w:val="nil"/>
        </w:pBdr>
      </w:pPr>
      <w:r>
        <w:t xml:space="preserve">Article 10 of the UK GDPR applies when processing data relating to criminal convictions and offences, and a condition from the DPA 2018 Schedule 1 Part 3 must be identified. </w:t>
      </w:r>
    </w:p>
    <w:p w14:paraId="2F7AA7A2" w14:textId="77777777" w:rsidR="00A27AC2" w:rsidRDefault="009C0578" w:rsidP="00CC5AE7">
      <w:pPr>
        <w:rPr>
          <w:b/>
          <w:sz w:val="24"/>
          <w:szCs w:val="24"/>
        </w:rPr>
      </w:pPr>
      <w:r>
        <w:t>The conditions relevant to this DSA are:</w:t>
      </w:r>
    </w:p>
    <w:p w14:paraId="0F7DB3A4" w14:textId="77777777" w:rsidR="00A27AC2" w:rsidRDefault="00A27AC2" w:rsidP="00CC5AE7">
      <w:pPr>
        <w:spacing w:before="0" w:after="0" w:line="240" w:lineRule="auto"/>
        <w:rPr>
          <w:b/>
          <w:sz w:val="24"/>
          <w:szCs w:val="24"/>
        </w:rPr>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8"/>
        <w:gridCol w:w="4111"/>
      </w:tblGrid>
      <w:tr w:rsidR="00C04589" w14:paraId="45AEEA97" w14:textId="77777777" w:rsidTr="002A775F">
        <w:tc>
          <w:tcPr>
            <w:tcW w:w="4678" w:type="dxa"/>
            <w:shd w:val="clear" w:color="auto" w:fill="D9D9D9"/>
            <w:vAlign w:val="center"/>
          </w:tcPr>
          <w:p w14:paraId="1022F98E" w14:textId="3663C90B" w:rsidR="00C04589" w:rsidRDefault="00C04589" w:rsidP="00CC5AE7">
            <w:pPr>
              <w:spacing w:before="0" w:after="0" w:line="240" w:lineRule="auto"/>
            </w:pPr>
            <w:r>
              <w:rPr>
                <w:b/>
              </w:rPr>
              <w:t>Article 6 lawful basis conditions</w:t>
            </w:r>
          </w:p>
        </w:tc>
        <w:tc>
          <w:tcPr>
            <w:tcW w:w="4111" w:type="dxa"/>
            <w:shd w:val="clear" w:color="auto" w:fill="D9D9D9"/>
            <w:tcMar>
              <w:top w:w="100" w:type="dxa"/>
              <w:left w:w="100" w:type="dxa"/>
              <w:bottom w:w="100" w:type="dxa"/>
              <w:right w:w="100" w:type="dxa"/>
            </w:tcMar>
            <w:vAlign w:val="center"/>
          </w:tcPr>
          <w:p w14:paraId="28CC6E44" w14:textId="47686097" w:rsidR="00C04589" w:rsidRDefault="00C04589" w:rsidP="00CC5AE7">
            <w:pPr>
              <w:widowControl w:val="0"/>
              <w:spacing w:before="0" w:after="0" w:line="240" w:lineRule="auto"/>
              <w:ind w:left="425" w:hanging="360"/>
            </w:pPr>
            <w:r>
              <w:rPr>
                <w:b/>
              </w:rPr>
              <w:t>Applicable party</w:t>
            </w:r>
          </w:p>
        </w:tc>
      </w:tr>
      <w:tr w:rsidR="00C04589" w14:paraId="77F11C15" w14:textId="77777777" w:rsidTr="00C04589">
        <w:tc>
          <w:tcPr>
            <w:tcW w:w="4678" w:type="dxa"/>
            <w:vAlign w:val="center"/>
          </w:tcPr>
          <w:p w14:paraId="317B9F0D" w14:textId="7DB5385E" w:rsidR="00C04589" w:rsidRDefault="00C04589" w:rsidP="00CC5AE7">
            <w:pPr>
              <w:spacing w:before="0" w:after="0" w:line="240" w:lineRule="auto"/>
            </w:pPr>
            <w:r>
              <w:t>e)</w:t>
            </w:r>
            <w:r>
              <w:rPr>
                <w:rFonts w:ascii="Calibri" w:eastAsia="Calibri" w:hAnsi="Calibri" w:cs="Calibri"/>
              </w:rPr>
              <w:t xml:space="preserve"> </w:t>
            </w:r>
            <w:r>
              <w:t>performance of a task carried out in the public interest</w:t>
            </w:r>
          </w:p>
        </w:tc>
        <w:tc>
          <w:tcPr>
            <w:tcW w:w="4111" w:type="dxa"/>
            <w:shd w:val="clear" w:color="auto" w:fill="auto"/>
            <w:tcMar>
              <w:top w:w="100" w:type="dxa"/>
              <w:left w:w="100" w:type="dxa"/>
              <w:bottom w:w="100" w:type="dxa"/>
              <w:right w:w="100" w:type="dxa"/>
            </w:tcMar>
            <w:vAlign w:val="center"/>
          </w:tcPr>
          <w:p w14:paraId="6E918AC4" w14:textId="77777777" w:rsidR="00C04589" w:rsidRDefault="00C04589" w:rsidP="00CC5AE7">
            <w:pPr>
              <w:widowControl w:val="0"/>
              <w:spacing w:before="0" w:after="0" w:line="240" w:lineRule="auto"/>
              <w:ind w:left="425" w:hanging="360"/>
            </w:pPr>
            <w:r>
              <w:t>Local authority</w:t>
            </w:r>
          </w:p>
          <w:p w14:paraId="60856142" w14:textId="77777777" w:rsidR="00C04589" w:rsidRDefault="00C04589" w:rsidP="00CC5AE7">
            <w:pPr>
              <w:widowControl w:val="0"/>
              <w:spacing w:before="0" w:after="0" w:line="240" w:lineRule="auto"/>
              <w:ind w:left="425" w:hanging="360"/>
            </w:pPr>
          </w:p>
        </w:tc>
      </w:tr>
      <w:tr w:rsidR="00C04589" w14:paraId="372065D0" w14:textId="77777777" w:rsidTr="00C04589">
        <w:tc>
          <w:tcPr>
            <w:tcW w:w="4678" w:type="dxa"/>
            <w:vAlign w:val="center"/>
          </w:tcPr>
          <w:p w14:paraId="64446F93" w14:textId="77890645" w:rsidR="00C04589" w:rsidRDefault="00C04589" w:rsidP="00CC5AE7">
            <w:pPr>
              <w:spacing w:before="0" w:after="0" w:line="240" w:lineRule="auto"/>
            </w:pPr>
            <w:r>
              <w:t>f)</w:t>
            </w:r>
            <w:r>
              <w:rPr>
                <w:rFonts w:ascii="Calibri" w:eastAsia="Calibri" w:hAnsi="Calibri" w:cs="Calibri"/>
              </w:rPr>
              <w:t xml:space="preserve"> </w:t>
            </w:r>
            <w:r>
              <w:t>purposes of the legitimate interests</w:t>
            </w:r>
          </w:p>
        </w:tc>
        <w:tc>
          <w:tcPr>
            <w:tcW w:w="4111" w:type="dxa"/>
            <w:shd w:val="clear" w:color="auto" w:fill="auto"/>
            <w:tcMar>
              <w:top w:w="100" w:type="dxa"/>
              <w:left w:w="100" w:type="dxa"/>
              <w:bottom w:w="100" w:type="dxa"/>
              <w:right w:w="100" w:type="dxa"/>
            </w:tcMar>
            <w:vAlign w:val="center"/>
          </w:tcPr>
          <w:p w14:paraId="30794387" w14:textId="051FCDA5" w:rsidR="00C04589" w:rsidRDefault="00C04589" w:rsidP="00CC5AE7">
            <w:pPr>
              <w:widowControl w:val="0"/>
              <w:spacing w:before="0" w:after="0" w:line="240" w:lineRule="auto"/>
              <w:ind w:left="425" w:hanging="360"/>
            </w:pPr>
            <w:r>
              <w:t>Communications provider</w:t>
            </w:r>
          </w:p>
        </w:tc>
      </w:tr>
    </w:tbl>
    <w:p w14:paraId="70EEB93F" w14:textId="77777777" w:rsidR="00A27AC2" w:rsidRDefault="00A27AC2" w:rsidP="00CC5AE7">
      <w:pPr>
        <w:spacing w:before="0" w:after="0" w:line="240" w:lineRule="auto"/>
        <w:rPr>
          <w:b/>
          <w:color w:val="008080"/>
          <w:sz w:val="24"/>
          <w:szCs w:val="24"/>
        </w:rPr>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8"/>
        <w:gridCol w:w="4111"/>
      </w:tblGrid>
      <w:tr w:rsidR="00C04589" w14:paraId="2724E541" w14:textId="77777777" w:rsidTr="002A775F">
        <w:tc>
          <w:tcPr>
            <w:tcW w:w="4678" w:type="dxa"/>
            <w:shd w:val="clear" w:color="auto" w:fill="D9D9D9"/>
          </w:tcPr>
          <w:p w14:paraId="7AB19FD1" w14:textId="6C7A318F" w:rsidR="00C04589" w:rsidRPr="00217F43" w:rsidRDefault="00C04589" w:rsidP="00CC5AE7">
            <w:pPr>
              <w:spacing w:before="0" w:after="0" w:line="240" w:lineRule="auto"/>
              <w:rPr>
                <w:highlight w:val="yellow"/>
              </w:rPr>
            </w:pPr>
            <w:r w:rsidRPr="00217F43">
              <w:rPr>
                <w:b/>
                <w:highlight w:val="yellow"/>
              </w:rPr>
              <w:t>Article 9 lawful basis conditions</w:t>
            </w:r>
          </w:p>
        </w:tc>
        <w:tc>
          <w:tcPr>
            <w:tcW w:w="4111" w:type="dxa"/>
            <w:shd w:val="clear" w:color="auto" w:fill="D9D9D9"/>
            <w:tcMar>
              <w:top w:w="100" w:type="dxa"/>
              <w:left w:w="100" w:type="dxa"/>
              <w:bottom w:w="100" w:type="dxa"/>
              <w:right w:w="100" w:type="dxa"/>
            </w:tcMar>
          </w:tcPr>
          <w:p w14:paraId="0B4D14D5" w14:textId="6EAC964B" w:rsidR="00C04589" w:rsidRPr="00217F43" w:rsidRDefault="00C04589" w:rsidP="00CC5AE7">
            <w:pPr>
              <w:widowControl w:val="0"/>
              <w:spacing w:before="0" w:after="0" w:line="240" w:lineRule="auto"/>
              <w:ind w:left="425" w:hanging="360"/>
              <w:rPr>
                <w:highlight w:val="yellow"/>
              </w:rPr>
            </w:pPr>
            <w:r w:rsidRPr="00217F43">
              <w:rPr>
                <w:b/>
                <w:highlight w:val="yellow"/>
              </w:rPr>
              <w:t>Applicable party</w:t>
            </w:r>
          </w:p>
        </w:tc>
      </w:tr>
      <w:tr w:rsidR="00C04589" w14:paraId="6C90F08E" w14:textId="77777777" w:rsidTr="00C04589">
        <w:tc>
          <w:tcPr>
            <w:tcW w:w="4678" w:type="dxa"/>
          </w:tcPr>
          <w:p w14:paraId="2D3DB2B3" w14:textId="55A76BD8" w:rsidR="00C04589" w:rsidRPr="00217F43" w:rsidRDefault="00C04589" w:rsidP="00CC5AE7">
            <w:pPr>
              <w:spacing w:before="0" w:after="0" w:line="240" w:lineRule="auto"/>
              <w:rPr>
                <w:highlight w:val="yellow"/>
              </w:rPr>
            </w:pPr>
            <w:r w:rsidRPr="00217F43">
              <w:rPr>
                <w:highlight w:val="yellow"/>
              </w:rPr>
              <w:t>h)</w:t>
            </w:r>
            <w:r w:rsidRPr="00217F43">
              <w:rPr>
                <w:rFonts w:ascii="Calibri" w:eastAsia="Calibri" w:hAnsi="Calibri" w:cs="Calibri"/>
                <w:highlight w:val="yellow"/>
              </w:rPr>
              <w:t xml:space="preserve"> </w:t>
            </w:r>
            <w:r w:rsidRPr="00217F43">
              <w:rPr>
                <w:highlight w:val="yellow"/>
              </w:rPr>
              <w:t>provision of health and social care</w:t>
            </w:r>
          </w:p>
        </w:tc>
        <w:tc>
          <w:tcPr>
            <w:tcW w:w="4111" w:type="dxa"/>
            <w:shd w:val="clear" w:color="auto" w:fill="auto"/>
            <w:tcMar>
              <w:top w:w="100" w:type="dxa"/>
              <w:left w:w="100" w:type="dxa"/>
              <w:bottom w:w="100" w:type="dxa"/>
              <w:right w:w="100" w:type="dxa"/>
            </w:tcMar>
          </w:tcPr>
          <w:p w14:paraId="32FD415D" w14:textId="77777777" w:rsidR="00C04589" w:rsidRPr="00217F43" w:rsidRDefault="00C04589" w:rsidP="00CC5AE7">
            <w:pPr>
              <w:widowControl w:val="0"/>
              <w:spacing w:before="0" w:after="0" w:line="240" w:lineRule="auto"/>
              <w:ind w:left="425" w:hanging="360"/>
              <w:rPr>
                <w:highlight w:val="yellow"/>
              </w:rPr>
            </w:pPr>
            <w:r w:rsidRPr="00217F43">
              <w:rPr>
                <w:highlight w:val="yellow"/>
              </w:rPr>
              <w:t>Local authority</w:t>
            </w:r>
          </w:p>
          <w:p w14:paraId="38C15970" w14:textId="77777777" w:rsidR="00C04589" w:rsidRPr="00217F43" w:rsidRDefault="00C04589" w:rsidP="00CC5AE7">
            <w:pPr>
              <w:widowControl w:val="0"/>
              <w:spacing w:before="0" w:after="0" w:line="240" w:lineRule="auto"/>
              <w:ind w:left="425" w:hanging="360"/>
              <w:rPr>
                <w:highlight w:val="yellow"/>
              </w:rPr>
            </w:pPr>
          </w:p>
        </w:tc>
      </w:tr>
      <w:tr w:rsidR="00C04589" w14:paraId="787DE17C" w14:textId="77777777" w:rsidTr="00C04589">
        <w:tc>
          <w:tcPr>
            <w:tcW w:w="4678" w:type="dxa"/>
          </w:tcPr>
          <w:p w14:paraId="5B8A191D" w14:textId="28523ACD" w:rsidR="00C04589" w:rsidRPr="00217F43" w:rsidRDefault="00C04589" w:rsidP="00CC5AE7">
            <w:pPr>
              <w:spacing w:before="0" w:after="0" w:line="240" w:lineRule="auto"/>
              <w:rPr>
                <w:highlight w:val="yellow"/>
              </w:rPr>
            </w:pPr>
            <w:r w:rsidRPr="00217F43">
              <w:rPr>
                <w:highlight w:val="yellow"/>
              </w:rPr>
              <w:t>g)</w:t>
            </w:r>
            <w:r w:rsidRPr="00217F43">
              <w:rPr>
                <w:rFonts w:ascii="Calibri" w:eastAsia="Calibri" w:hAnsi="Calibri" w:cs="Calibri"/>
                <w:highlight w:val="yellow"/>
              </w:rPr>
              <w:t xml:space="preserve"> </w:t>
            </w:r>
            <w:r w:rsidRPr="00217F43">
              <w:rPr>
                <w:highlight w:val="yellow"/>
              </w:rPr>
              <w:t>substantial public interest</w:t>
            </w:r>
          </w:p>
        </w:tc>
        <w:tc>
          <w:tcPr>
            <w:tcW w:w="4111" w:type="dxa"/>
            <w:shd w:val="clear" w:color="auto" w:fill="auto"/>
            <w:tcMar>
              <w:top w:w="100" w:type="dxa"/>
              <w:left w:w="100" w:type="dxa"/>
              <w:bottom w:w="100" w:type="dxa"/>
              <w:right w:w="100" w:type="dxa"/>
            </w:tcMar>
          </w:tcPr>
          <w:p w14:paraId="5BF24640" w14:textId="77777777" w:rsidR="00C04589" w:rsidRPr="00217F43" w:rsidRDefault="00C04589" w:rsidP="00CC5AE7">
            <w:pPr>
              <w:widowControl w:val="0"/>
              <w:spacing w:before="0" w:after="0" w:line="240" w:lineRule="auto"/>
              <w:ind w:left="425" w:hanging="360"/>
              <w:rPr>
                <w:highlight w:val="yellow"/>
              </w:rPr>
            </w:pPr>
            <w:r w:rsidRPr="00217F43">
              <w:rPr>
                <w:highlight w:val="yellow"/>
              </w:rPr>
              <w:t>Communications provider</w:t>
            </w:r>
          </w:p>
        </w:tc>
      </w:tr>
    </w:tbl>
    <w:p w14:paraId="66E1CE33" w14:textId="77777777" w:rsidR="00714AC6" w:rsidRDefault="00714AC6" w:rsidP="00CC5AE7">
      <w:pPr>
        <w:spacing w:before="0" w:after="0" w:line="240" w:lineRule="auto"/>
        <w:rPr>
          <w:b/>
          <w:color w:val="008080"/>
          <w:sz w:val="24"/>
          <w:szCs w:val="24"/>
        </w:rPr>
      </w:pPr>
    </w:p>
    <w:p w14:paraId="22A05423" w14:textId="77777777" w:rsidR="00714AC6" w:rsidRDefault="00714AC6" w:rsidP="00CC5AE7">
      <w:pPr>
        <w:spacing w:before="0" w:after="0" w:line="240" w:lineRule="auto"/>
        <w:rPr>
          <w:b/>
          <w:color w:val="008080"/>
          <w:sz w:val="24"/>
          <w:szCs w:val="24"/>
        </w:rPr>
      </w:pPr>
    </w:p>
    <w:p w14:paraId="11459A2E" w14:textId="6D748A27" w:rsidR="00A27AC2" w:rsidRDefault="00C6346C" w:rsidP="00CC5AE7">
      <w:pPr>
        <w:pStyle w:val="Heading3"/>
        <w:ind w:left="0"/>
      </w:pPr>
      <w:bookmarkStart w:id="40" w:name="_Toc168982238"/>
      <w:r>
        <w:t xml:space="preserve">2.4.2 </w:t>
      </w:r>
      <w:r w:rsidR="009C0578">
        <w:t>Consent</w:t>
      </w:r>
      <w:bookmarkEnd w:id="40"/>
    </w:p>
    <w:p w14:paraId="36388697" w14:textId="77777777" w:rsidR="00A27AC2" w:rsidRDefault="009C0578" w:rsidP="00CC5AE7">
      <w:pPr>
        <w:pBdr>
          <w:top w:val="nil"/>
          <w:left w:val="nil"/>
          <w:bottom w:val="nil"/>
          <w:right w:val="nil"/>
          <w:between w:val="nil"/>
        </w:pBdr>
        <w:rPr>
          <w:color w:val="000000"/>
        </w:rPr>
      </w:pPr>
      <w:r>
        <w:rPr>
          <w:color w:val="000000"/>
        </w:rPr>
        <w:t>The parties will often work collaboratively with data subjects and aim for agreement with them on the actions to be taken. However, it is recognised that this is different to using consent (Article 6 (a)), explicit consent (Article 9 (a)), or consent for law enforcement processing (DPA 2018 Pt 3 C</w:t>
      </w:r>
      <w:r>
        <w:t>h2 s35 2(a))</w:t>
      </w:r>
      <w:r>
        <w:rPr>
          <w:color w:val="000000"/>
        </w:rPr>
        <w:t xml:space="preserve"> as the lawful basis </w:t>
      </w:r>
      <w:r>
        <w:t>conditions</w:t>
      </w:r>
      <w:r>
        <w:rPr>
          <w:color w:val="000000"/>
        </w:rPr>
        <w:t xml:space="preserve">. </w:t>
      </w:r>
    </w:p>
    <w:p w14:paraId="31902B51" w14:textId="77777777" w:rsidR="00A27AC2" w:rsidRDefault="009C0578" w:rsidP="00CC5AE7">
      <w:pPr>
        <w:pBdr>
          <w:top w:val="nil"/>
          <w:left w:val="nil"/>
          <w:bottom w:val="nil"/>
          <w:right w:val="nil"/>
          <w:between w:val="nil"/>
        </w:pBdr>
        <w:rPr>
          <w:color w:val="000000"/>
        </w:rPr>
      </w:pPr>
      <w:r>
        <w:rPr>
          <w:color w:val="000000"/>
        </w:rPr>
        <w:t>Consent is not the lawful basis for this sharing.</w:t>
      </w:r>
    </w:p>
    <w:p w14:paraId="02DAA1D0" w14:textId="77777777" w:rsidR="00A27AC2" w:rsidRDefault="00A27AC2" w:rsidP="00CC5AE7">
      <w:pPr>
        <w:pBdr>
          <w:top w:val="nil"/>
          <w:left w:val="nil"/>
          <w:bottom w:val="nil"/>
          <w:right w:val="nil"/>
          <w:between w:val="nil"/>
        </w:pBdr>
        <w:rPr>
          <w:color w:val="000000"/>
          <w:highlight w:val="yellow"/>
        </w:rPr>
      </w:pPr>
    </w:p>
    <w:p w14:paraId="187E64CF" w14:textId="447F4177" w:rsidR="00A27AC2" w:rsidRDefault="00071102" w:rsidP="00CC5AE7">
      <w:pPr>
        <w:pStyle w:val="Heading3"/>
        <w:ind w:left="0"/>
      </w:pPr>
      <w:bookmarkStart w:id="41" w:name="_Toc168982239"/>
      <w:r>
        <w:t xml:space="preserve">2.4.3 </w:t>
      </w:r>
      <w:r w:rsidR="009C0578">
        <w:t>Vital interests</w:t>
      </w:r>
      <w:bookmarkEnd w:id="41"/>
    </w:p>
    <w:p w14:paraId="43EE0E2D" w14:textId="3D308FA5" w:rsidR="00A27AC2" w:rsidRDefault="009C0578" w:rsidP="00CC5AE7">
      <w:pPr>
        <w:pBdr>
          <w:top w:val="nil"/>
          <w:left w:val="nil"/>
          <w:bottom w:val="nil"/>
          <w:right w:val="nil"/>
          <w:between w:val="nil"/>
        </w:pBdr>
      </w:pPr>
      <w:r>
        <w:lastRenderedPageBreak/>
        <w:t>The vital interest conditions available for personal and special category data (Article 6 (d) and Article 9 (c)) allow for sharing where there is immediate risk to life. This is not applicable as sharing under this DSA occurs to reduce risk to individuals, rather than respond to an immediate threat.</w:t>
      </w:r>
    </w:p>
    <w:p w14:paraId="1EA2AEF0" w14:textId="17883A49" w:rsidR="00A27AC2" w:rsidRDefault="00071102" w:rsidP="00CC5AE7">
      <w:pPr>
        <w:pStyle w:val="Heading3"/>
        <w:ind w:left="0"/>
      </w:pPr>
      <w:bookmarkStart w:id="42" w:name="_Toc168982240"/>
      <w:r>
        <w:t xml:space="preserve">2.4.4 </w:t>
      </w:r>
      <w:r w:rsidR="009C0578">
        <w:t>Applicable legislation</w:t>
      </w:r>
      <w:bookmarkEnd w:id="42"/>
    </w:p>
    <w:p w14:paraId="621DF7D0" w14:textId="77777777" w:rsidR="00A27AC2" w:rsidRDefault="009C0578" w:rsidP="00CC5AE7">
      <w:pPr>
        <w:rPr>
          <w:i/>
        </w:rPr>
      </w:pPr>
      <w:r>
        <w:t xml:space="preserve">Parties will have legislation, statutory guidance, and public duties for processing personal data. The applicable legislation for each party, that justifies the lawful basis conditions identified above, is listed in </w:t>
      </w:r>
      <w:r>
        <w:rPr>
          <w:b/>
        </w:rPr>
        <w:t>Appendix B</w:t>
      </w:r>
      <w:r>
        <w:rPr>
          <w:i/>
        </w:rPr>
        <w:t>.</w:t>
      </w:r>
    </w:p>
    <w:p w14:paraId="32B8E378" w14:textId="77777777" w:rsidR="00A27AC2" w:rsidRDefault="00A27AC2" w:rsidP="00CC5AE7">
      <w:pPr>
        <w:rPr>
          <w:i/>
        </w:rPr>
      </w:pPr>
    </w:p>
    <w:p w14:paraId="79FB4490" w14:textId="7307CAD2" w:rsidR="00A27AC2" w:rsidRDefault="009C0578" w:rsidP="00F236C4">
      <w:pPr>
        <w:pStyle w:val="Heading2"/>
        <w:numPr>
          <w:ilvl w:val="1"/>
          <w:numId w:val="17"/>
        </w:numPr>
        <w:ind w:left="709"/>
      </w:pPr>
      <w:bookmarkStart w:id="43" w:name="_Toc168982241"/>
      <w:r>
        <w:t>Proportionality and necessity</w:t>
      </w:r>
      <w:bookmarkEnd w:id="43"/>
    </w:p>
    <w:p w14:paraId="37823D93" w14:textId="77777777" w:rsidR="00A27AC2" w:rsidRDefault="009C0578" w:rsidP="00CC5AE7">
      <w:pPr>
        <w:pBdr>
          <w:top w:val="nil"/>
          <w:left w:val="nil"/>
          <w:bottom w:val="nil"/>
          <w:right w:val="nil"/>
          <w:between w:val="nil"/>
        </w:pBdr>
      </w:pPr>
      <w:r>
        <w:t xml:space="preserve">Proportionality, data minimisation and necessity decisions were made when creating this DSA. </w:t>
      </w:r>
    </w:p>
    <w:p w14:paraId="1A811496" w14:textId="77777777" w:rsidR="00A27AC2" w:rsidRDefault="00A27AC2" w:rsidP="00CC5AE7">
      <w:pPr>
        <w:pBdr>
          <w:top w:val="nil"/>
          <w:left w:val="nil"/>
          <w:bottom w:val="nil"/>
          <w:right w:val="nil"/>
          <w:between w:val="nil"/>
        </w:pBdr>
      </w:pPr>
    </w:p>
    <w:p w14:paraId="64FF6C59" w14:textId="77777777" w:rsidR="00A27AC2" w:rsidRDefault="009C0578" w:rsidP="00CC5AE7">
      <w:pPr>
        <w:pBdr>
          <w:top w:val="nil"/>
          <w:left w:val="nil"/>
          <w:bottom w:val="nil"/>
          <w:right w:val="nil"/>
          <w:between w:val="nil"/>
        </w:pBdr>
        <w:rPr>
          <w:b/>
        </w:rPr>
      </w:pPr>
      <w:r>
        <w:rPr>
          <w:b/>
        </w:rPr>
        <w:t>Describe how proportionality and necessity have been and will be considered when sharing under this DSA.</w:t>
      </w:r>
    </w:p>
    <w:p w14:paraId="0ADC5870" w14:textId="77777777" w:rsidR="008A1B1D" w:rsidRDefault="008A1B1D" w:rsidP="00CC5AE7">
      <w:pPr>
        <w:spacing w:before="240" w:after="240" w:line="240" w:lineRule="auto"/>
      </w:pPr>
      <w:r>
        <w:t>The data sharing is considered necessary to allow communications providers to better identify which of their customers use telecare devices. The data sharing is unlikely to guarantee all users are identified, but it will increase the percentage of those who are.</w:t>
      </w:r>
    </w:p>
    <w:p w14:paraId="4239700B" w14:textId="77777777" w:rsidR="008A1B1D" w:rsidRDefault="008A1B1D" w:rsidP="00CC5AE7">
      <w:pPr>
        <w:spacing w:before="240" w:after="240" w:line="240" w:lineRule="auto"/>
      </w:pPr>
      <w:r>
        <w:t xml:space="preserve">The need for the communications provider to identify the affected customers is a legitimate purpose so that any additional needs can be met (purpose test). </w:t>
      </w:r>
    </w:p>
    <w:p w14:paraId="308C280B" w14:textId="77777777" w:rsidR="008A1B1D" w:rsidRDefault="008A1B1D" w:rsidP="00CC5AE7">
      <w:pPr>
        <w:spacing w:before="240" w:after="240" w:line="240" w:lineRule="auto"/>
      </w:pPr>
      <w:r>
        <w:t>Only the minimal data required (telephone number and type of device) is being shared and matched and other avenues of identifying these customers have not provided sufficient certainty; (necessity test).</w:t>
      </w:r>
    </w:p>
    <w:p w14:paraId="0BE903DE" w14:textId="77777777" w:rsidR="008A1B1D" w:rsidRDefault="008A1B1D" w:rsidP="00CC5AE7">
      <w:pPr>
        <w:spacing w:before="240" w:after="240" w:line="240" w:lineRule="auto"/>
      </w:pPr>
      <w:r>
        <w:t xml:space="preserve">Data about customers who are not matched will not be retained beyond the initial matching exercise, the impact to individuals’ privacy rights is minimal and the need to protect the matched customers who have the additional needs is outweighed by the privacy rights of the affected individuals. </w:t>
      </w:r>
    </w:p>
    <w:p w14:paraId="05461546" w14:textId="77777777" w:rsidR="008A1B1D" w:rsidRDefault="008A1B1D" w:rsidP="00CC5AE7">
      <w:pPr>
        <w:spacing w:before="240" w:after="240" w:line="240" w:lineRule="auto"/>
      </w:pPr>
      <w:r>
        <w:t>There are more than 600 communications providers. In the absence of a national data matching system that would check local authority data to identify which communications providers manage a telephone number/account, local authority ASC departments do not have the resources to individually identify which of their clients’ telephone numbers belong to which provider. In aiming to reduce incidents of vulnerable individuals losing access to emergency services and support, it is considered proportionate for local authorities to provide one list to all providers that request it.</w:t>
      </w:r>
    </w:p>
    <w:p w14:paraId="6CAAC5B1" w14:textId="77777777" w:rsidR="008A1B1D" w:rsidRDefault="008A1B1D" w:rsidP="00CC5AE7">
      <w:pPr>
        <w:spacing w:before="240" w:after="240" w:line="240" w:lineRule="auto"/>
        <w:rPr>
          <w:b/>
        </w:rPr>
      </w:pPr>
      <w:r>
        <w:t>A provider will match the list of numbers from the local authority to their client database to identify which clients they serve. The list will be deleted after matching.</w:t>
      </w:r>
    </w:p>
    <w:p w14:paraId="6E6EF808" w14:textId="77777777" w:rsidR="008A1B1D" w:rsidRDefault="008A1B1D" w:rsidP="00CC5AE7">
      <w:pPr>
        <w:spacing w:before="0" w:after="0" w:line="276" w:lineRule="auto"/>
        <w:jc w:val="both"/>
        <w:rPr>
          <w:b/>
        </w:rPr>
      </w:pPr>
      <w:r>
        <w:t>The communications companies shall not retain or use the shared data for marketing purposes, the procurement of prospective customers or promoting supplementary products.</w:t>
      </w:r>
    </w:p>
    <w:p w14:paraId="40C7531D" w14:textId="77777777" w:rsidR="00A27AC2" w:rsidRDefault="00A27AC2" w:rsidP="00CC5AE7">
      <w:pPr>
        <w:pBdr>
          <w:top w:val="nil"/>
          <w:left w:val="nil"/>
          <w:bottom w:val="nil"/>
          <w:right w:val="nil"/>
          <w:between w:val="nil"/>
        </w:pBdr>
      </w:pPr>
    </w:p>
    <w:p w14:paraId="39CC5E2C" w14:textId="77777777" w:rsidR="00A27AC2" w:rsidRDefault="009C0578" w:rsidP="00CC5AE7">
      <w:pPr>
        <w:pBdr>
          <w:top w:val="nil"/>
          <w:left w:val="nil"/>
          <w:bottom w:val="nil"/>
          <w:right w:val="nil"/>
          <w:between w:val="nil"/>
        </w:pBdr>
        <w:rPr>
          <w:color w:val="000000"/>
        </w:rPr>
      </w:pPr>
      <w:r>
        <w:t>In addition, it is the responsibility of the individual making the decision to share specific data to</w:t>
      </w:r>
      <w:r>
        <w:rPr>
          <w:color w:val="000000"/>
        </w:rPr>
        <w:t xml:space="preserve"> weigh up what might happen as a result of data being shared against what might happen if it is not, and apply their professional judgement. There are legal safeguards which support a defence for</w:t>
      </w:r>
      <w:r>
        <w:t xml:space="preserve"> sharing data</w:t>
      </w:r>
      <w:r>
        <w:rPr>
          <w:color w:val="000000"/>
        </w:rPr>
        <w:t xml:space="preserve"> listed in </w:t>
      </w:r>
      <w:r>
        <w:rPr>
          <w:b/>
          <w:color w:val="000000"/>
        </w:rPr>
        <w:t>Appendix C</w:t>
      </w:r>
      <w:r>
        <w:t xml:space="preserve">, which the </w:t>
      </w:r>
      <w:r>
        <w:rPr>
          <w:color w:val="000000"/>
        </w:rPr>
        <w:t xml:space="preserve">parties will </w:t>
      </w:r>
      <w:r>
        <w:t>communicate</w:t>
      </w:r>
      <w:r>
        <w:rPr>
          <w:color w:val="000000"/>
        </w:rPr>
        <w:t xml:space="preserve"> to their staff to support them to be confident when sharing data</w:t>
      </w:r>
      <w:r>
        <w:t>.</w:t>
      </w:r>
    </w:p>
    <w:p w14:paraId="70458144" w14:textId="77777777" w:rsidR="00A27AC2" w:rsidRDefault="009C0578" w:rsidP="00CC5AE7">
      <w:pPr>
        <w:pBdr>
          <w:top w:val="nil"/>
          <w:left w:val="nil"/>
          <w:bottom w:val="nil"/>
          <w:right w:val="nil"/>
          <w:between w:val="nil"/>
        </w:pBdr>
        <w:rPr>
          <w:color w:val="000000"/>
        </w:rPr>
      </w:pPr>
      <w:r>
        <w:t>To enable the Data Controller to account for decisions made, staff</w:t>
      </w:r>
      <w:r>
        <w:rPr>
          <w:color w:val="000000"/>
        </w:rPr>
        <w:t xml:space="preserve"> sharing data must record:</w:t>
      </w:r>
    </w:p>
    <w:p w14:paraId="357D1241" w14:textId="77777777" w:rsidR="00A27AC2" w:rsidRDefault="009C0578" w:rsidP="00F236C4">
      <w:pPr>
        <w:numPr>
          <w:ilvl w:val="0"/>
          <w:numId w:val="5"/>
        </w:numPr>
        <w:pBdr>
          <w:top w:val="nil"/>
          <w:left w:val="nil"/>
          <w:bottom w:val="nil"/>
          <w:right w:val="nil"/>
          <w:between w:val="nil"/>
        </w:pBdr>
        <w:rPr>
          <w:color w:val="000000"/>
        </w:rPr>
      </w:pPr>
      <w:r>
        <w:rPr>
          <w:color w:val="000000"/>
        </w:rPr>
        <w:lastRenderedPageBreak/>
        <w:t>the decision to share or not to share.</w:t>
      </w:r>
    </w:p>
    <w:p w14:paraId="1A320788" w14:textId="77777777" w:rsidR="00A27AC2" w:rsidRDefault="009C0578" w:rsidP="00F236C4">
      <w:pPr>
        <w:numPr>
          <w:ilvl w:val="0"/>
          <w:numId w:val="5"/>
        </w:numPr>
        <w:pBdr>
          <w:top w:val="nil"/>
          <w:left w:val="nil"/>
          <w:bottom w:val="nil"/>
          <w:right w:val="nil"/>
          <w:between w:val="nil"/>
        </w:pBdr>
        <w:rPr>
          <w:color w:val="000000"/>
        </w:rPr>
      </w:pPr>
      <w:r>
        <w:rPr>
          <w:color w:val="000000"/>
        </w:rPr>
        <w:t>the lawful basis for sharing.</w:t>
      </w:r>
    </w:p>
    <w:p w14:paraId="0C579D90" w14:textId="77777777" w:rsidR="00A27AC2" w:rsidRDefault="009C0578" w:rsidP="00F236C4">
      <w:pPr>
        <w:numPr>
          <w:ilvl w:val="0"/>
          <w:numId w:val="5"/>
        </w:numPr>
        <w:pBdr>
          <w:top w:val="nil"/>
          <w:left w:val="nil"/>
          <w:bottom w:val="nil"/>
          <w:right w:val="nil"/>
          <w:between w:val="nil"/>
        </w:pBdr>
        <w:rPr>
          <w:color w:val="000000"/>
        </w:rPr>
      </w:pPr>
      <w:r>
        <w:t>with</w:t>
      </w:r>
      <w:r>
        <w:rPr>
          <w:color w:val="000000"/>
        </w:rPr>
        <w:t xml:space="preserve"> whom the information was shared.</w:t>
      </w:r>
    </w:p>
    <w:p w14:paraId="184456C9" w14:textId="77777777" w:rsidR="00A27AC2" w:rsidRDefault="00A27AC2" w:rsidP="00CC5AE7">
      <w:pPr>
        <w:pBdr>
          <w:top w:val="nil"/>
          <w:left w:val="nil"/>
          <w:bottom w:val="nil"/>
          <w:right w:val="nil"/>
          <w:between w:val="nil"/>
        </w:pBdr>
        <w:rPr>
          <w:color w:val="000000"/>
        </w:rPr>
      </w:pPr>
    </w:p>
    <w:p w14:paraId="10C21CB6" w14:textId="77777777" w:rsidR="00A27AC2" w:rsidRDefault="009C0578" w:rsidP="007505AF">
      <w:pPr>
        <w:pStyle w:val="Heading2"/>
        <w:numPr>
          <w:ilvl w:val="1"/>
          <w:numId w:val="17"/>
        </w:numPr>
        <w:ind w:left="709"/>
      </w:pPr>
      <w:bookmarkStart w:id="44" w:name="_Toc168982242"/>
      <w:r>
        <w:t>Other relevant legislation</w:t>
      </w:r>
      <w:bookmarkEnd w:id="44"/>
    </w:p>
    <w:p w14:paraId="01D434BC" w14:textId="77777777" w:rsidR="00A27AC2" w:rsidRDefault="009C0578" w:rsidP="00CC5AE7">
      <w:pPr>
        <w:pBdr>
          <w:top w:val="nil"/>
          <w:left w:val="nil"/>
          <w:bottom w:val="nil"/>
          <w:right w:val="nil"/>
          <w:between w:val="nil"/>
        </w:pBdr>
        <w:rPr>
          <w:color w:val="000000"/>
        </w:rPr>
      </w:pPr>
      <w:r>
        <w:rPr>
          <w:color w:val="000000"/>
        </w:rPr>
        <w:t xml:space="preserve">The disclosure of any personal data to achieve the objectives listed in this DSA must consider the Human Rights Act 1998 (HRA) and the Common Law Duty of Confidence. </w:t>
      </w:r>
    </w:p>
    <w:p w14:paraId="44F7AFC4" w14:textId="77777777" w:rsidR="00A27AC2" w:rsidRDefault="00A27AC2" w:rsidP="00CC5AE7">
      <w:pPr>
        <w:pBdr>
          <w:top w:val="nil"/>
          <w:left w:val="nil"/>
          <w:bottom w:val="nil"/>
          <w:right w:val="nil"/>
          <w:between w:val="nil"/>
        </w:pBdr>
      </w:pPr>
    </w:p>
    <w:p w14:paraId="6D1ED722" w14:textId="0D413DBB" w:rsidR="00A27AC2" w:rsidRDefault="00170709" w:rsidP="00CC5AE7">
      <w:pPr>
        <w:pStyle w:val="Heading3"/>
        <w:ind w:left="0"/>
      </w:pPr>
      <w:bookmarkStart w:id="45" w:name="_Toc168982243"/>
      <w:r>
        <w:t>2.</w:t>
      </w:r>
      <w:r w:rsidR="006F41D1">
        <w:t xml:space="preserve">6.1 </w:t>
      </w:r>
      <w:r w:rsidR="009C0578">
        <w:t>Common law duty of confidence</w:t>
      </w:r>
      <w:bookmarkEnd w:id="45"/>
    </w:p>
    <w:p w14:paraId="53301788" w14:textId="77777777" w:rsidR="00A27AC2" w:rsidRDefault="009C0578" w:rsidP="00CC5AE7">
      <w:r>
        <w:t>The word ’confidential’ can mean different things to different people.</w:t>
      </w:r>
    </w:p>
    <w:p w14:paraId="7D981AC9" w14:textId="3106073E" w:rsidR="005679CE" w:rsidRPr="005679CE" w:rsidRDefault="005679CE" w:rsidP="00F236C4">
      <w:pPr>
        <w:pStyle w:val="ListParagraph"/>
        <w:numPr>
          <w:ilvl w:val="0"/>
          <w:numId w:val="5"/>
        </w:numPr>
        <w:pBdr>
          <w:top w:val="nil"/>
          <w:left w:val="nil"/>
          <w:bottom w:val="nil"/>
          <w:right w:val="nil"/>
          <w:between w:val="nil"/>
        </w:pBdr>
        <w:ind w:left="284"/>
      </w:pPr>
      <w:r w:rsidRPr="005679CE">
        <w:t>Personal and special category data as defined by data protection legislation.</w:t>
      </w:r>
    </w:p>
    <w:p w14:paraId="6309624C" w14:textId="77777777" w:rsidR="005679CE" w:rsidRDefault="009C0578" w:rsidP="00F236C4">
      <w:pPr>
        <w:pStyle w:val="ListParagraph"/>
        <w:numPr>
          <w:ilvl w:val="0"/>
          <w:numId w:val="5"/>
        </w:numPr>
        <w:pBdr>
          <w:top w:val="nil"/>
          <w:left w:val="nil"/>
          <w:bottom w:val="nil"/>
          <w:right w:val="nil"/>
          <w:between w:val="nil"/>
        </w:pBdr>
        <w:ind w:left="284"/>
      </w:pPr>
      <w:r w:rsidRPr="005679CE">
        <w:t>Patient Identifiable Information (PII) or ‘personal confidential information’; both terms most commonly used in health settings.</w:t>
      </w:r>
    </w:p>
    <w:p w14:paraId="19FD5D0B" w14:textId="77777777" w:rsidR="005679CE" w:rsidRDefault="009C0578" w:rsidP="00F236C4">
      <w:pPr>
        <w:pStyle w:val="ListParagraph"/>
        <w:numPr>
          <w:ilvl w:val="0"/>
          <w:numId w:val="5"/>
        </w:numPr>
        <w:pBdr>
          <w:top w:val="nil"/>
          <w:left w:val="nil"/>
          <w:bottom w:val="nil"/>
          <w:right w:val="nil"/>
          <w:between w:val="nil"/>
        </w:pBdr>
        <w:ind w:left="284"/>
      </w:pPr>
      <w:r w:rsidRPr="005679CE">
        <w:t>Information which is not lawfully in the public domain or readily available from another public source.</w:t>
      </w:r>
    </w:p>
    <w:p w14:paraId="4C7E33D3" w14:textId="0583257E" w:rsidR="00A27AC2" w:rsidRPr="005679CE" w:rsidRDefault="009C0578" w:rsidP="00F236C4">
      <w:pPr>
        <w:pStyle w:val="ListParagraph"/>
        <w:numPr>
          <w:ilvl w:val="0"/>
          <w:numId w:val="5"/>
        </w:numPr>
        <w:pBdr>
          <w:top w:val="nil"/>
          <w:left w:val="nil"/>
          <w:bottom w:val="nil"/>
          <w:right w:val="nil"/>
          <w:between w:val="nil"/>
        </w:pBdr>
        <w:ind w:left="284"/>
      </w:pPr>
      <w:r w:rsidRPr="005679CE">
        <w:t>Where the person giving the information could reasonably expect that it would not be shared with others.</w:t>
      </w:r>
      <w:r w:rsidR="001D480C">
        <w:br/>
      </w:r>
    </w:p>
    <w:p w14:paraId="20970FD4" w14:textId="77777777" w:rsidR="00A27AC2" w:rsidRDefault="009C0578" w:rsidP="00CC5AE7">
      <w:pPr>
        <w:pBdr>
          <w:top w:val="nil"/>
          <w:left w:val="nil"/>
          <w:bottom w:val="nil"/>
          <w:right w:val="nil"/>
          <w:between w:val="nil"/>
        </w:pBdr>
      </w:pPr>
      <w:r>
        <w:t xml:space="preserve">A duty of confidence arises where it is reasonable for a data subject to expect that the information will be kept confidential. This duty is often used in health settings, but applies outside of health. The duty can be overridden by legislation or justifiable necessity, or where consent has been provided by the data subject. </w:t>
      </w:r>
    </w:p>
    <w:p w14:paraId="5E46FA40" w14:textId="77777777" w:rsidR="00A27AC2" w:rsidRDefault="009C0578" w:rsidP="00CC5AE7">
      <w:pPr>
        <w:pBdr>
          <w:top w:val="nil"/>
          <w:left w:val="nil"/>
          <w:bottom w:val="nil"/>
          <w:right w:val="nil"/>
          <w:between w:val="nil"/>
        </w:pBdr>
        <w:rPr>
          <w:color w:val="000000"/>
        </w:rPr>
      </w:pPr>
      <w:r>
        <w:t>While much</w:t>
      </w:r>
      <w:r>
        <w:rPr>
          <w:color w:val="000000"/>
        </w:rPr>
        <w:t xml:space="preserve"> of the personal data processed under the DSA is considered confidential, </w:t>
      </w:r>
      <w:r>
        <w:t>it is legitimately assumed that data subjects will understand that the parties will share personal data for the purposes of safeguarding and wellbeing, preventing harm, and the prevention and detection of crime.</w:t>
      </w:r>
    </w:p>
    <w:p w14:paraId="63FB58F7" w14:textId="77777777" w:rsidR="00A27AC2" w:rsidRDefault="009C0578" w:rsidP="00CC5AE7">
      <w:pPr>
        <w:pBdr>
          <w:top w:val="nil"/>
          <w:left w:val="nil"/>
          <w:bottom w:val="nil"/>
          <w:right w:val="nil"/>
          <w:between w:val="nil"/>
        </w:pBdr>
        <w:rPr>
          <w:color w:val="000000"/>
        </w:rPr>
      </w:pPr>
      <w:r>
        <w:rPr>
          <w:color w:val="000000"/>
        </w:rPr>
        <w:t>When overriding the duty of confidentiality, the parties may seek the views of the organisation who hold the duty of confidentiality and consider their views in relation to breaching confidentiality. The organisation may wish to seek legal advice if time permits.</w:t>
      </w:r>
    </w:p>
    <w:p w14:paraId="56730799" w14:textId="77777777" w:rsidR="00FC2971" w:rsidRDefault="00FC2971">
      <w:pPr>
        <w:rPr>
          <w:b/>
          <w:color w:val="3A3D41"/>
          <w:sz w:val="24"/>
          <w:szCs w:val="24"/>
        </w:rPr>
      </w:pPr>
      <w:bookmarkStart w:id="46" w:name="_Toc168411290"/>
      <w:r>
        <w:br w:type="page"/>
      </w:r>
    </w:p>
    <w:p w14:paraId="201DFD02" w14:textId="79DAB587" w:rsidR="00A27AC2" w:rsidRPr="001D480C" w:rsidRDefault="009C0578" w:rsidP="00CC5AE7">
      <w:pPr>
        <w:pStyle w:val="Heading3"/>
        <w:ind w:left="0"/>
      </w:pPr>
      <w:bookmarkStart w:id="47" w:name="_Toc168982244"/>
      <w:r w:rsidRPr="001D480C">
        <w:lastRenderedPageBreak/>
        <w:t>Override for duty of confidentiality</w:t>
      </w:r>
      <w:bookmarkEnd w:id="46"/>
      <w:bookmarkEnd w:id="47"/>
    </w:p>
    <w:p w14:paraId="05AB4252" w14:textId="53526E77" w:rsidR="008A1B1D" w:rsidRDefault="008A1B1D" w:rsidP="00CC5AE7">
      <w:pPr>
        <w:widowControl w:val="0"/>
        <w:pBdr>
          <w:top w:val="nil"/>
          <w:left w:val="nil"/>
          <w:bottom w:val="nil"/>
          <w:right w:val="nil"/>
          <w:between w:val="nil"/>
        </w:pBdr>
        <w:spacing w:before="0" w:after="0" w:line="240" w:lineRule="auto"/>
      </w:pPr>
      <w:r w:rsidRPr="007F28A5">
        <w:rPr>
          <w:b/>
          <w:bCs/>
        </w:rPr>
        <w:t>Overriding public interest</w:t>
      </w:r>
      <w:r>
        <w:t xml:space="preserve"> (</w:t>
      </w:r>
      <w:proofErr w:type="spellStart"/>
      <w:r>
        <w:t>eg</w:t>
      </w:r>
      <w:proofErr w:type="spellEnd"/>
      <w:r>
        <w:t xml:space="preserve"> to prevent or detect a serious crime or to prevent serious harm to another person, balanced against the public interest in maintaining public confidence in public sector organisations. </w:t>
      </w:r>
      <w:r w:rsidR="00C63EF7">
        <w:br/>
      </w:r>
    </w:p>
    <w:p w14:paraId="72153949" w14:textId="081C45A9" w:rsidR="004B791A" w:rsidRDefault="008A1B1D" w:rsidP="00FC2971">
      <w:pPr>
        <w:widowControl w:val="0"/>
        <w:pBdr>
          <w:top w:val="nil"/>
          <w:left w:val="nil"/>
          <w:bottom w:val="nil"/>
          <w:right w:val="nil"/>
          <w:between w:val="nil"/>
        </w:pBdr>
        <w:spacing w:before="0" w:after="0" w:line="240" w:lineRule="auto"/>
      </w:pPr>
      <w:r>
        <w:t>There have been incidents during the switchover of vulnerable customers losing access to emergency services. Telecare devices are used by the elderly or those with significant disabilities and some of these individuals are less likely to understand the impact of the digital switchover and to proactively check with the provider. The local authority duty of care is met by helping increase the likelihood that a provider will know that a customer uses a telecare device or has needs for immediate access to the emergency services.</w:t>
      </w:r>
    </w:p>
    <w:p w14:paraId="541CC228" w14:textId="77777777" w:rsidR="00FC2971" w:rsidRDefault="00FC2971" w:rsidP="00FC2971">
      <w:pPr>
        <w:widowControl w:val="0"/>
        <w:pBdr>
          <w:top w:val="nil"/>
          <w:left w:val="nil"/>
          <w:bottom w:val="nil"/>
          <w:right w:val="nil"/>
          <w:between w:val="nil"/>
        </w:pBdr>
        <w:spacing w:before="0" w:after="0" w:line="240" w:lineRule="auto"/>
        <w:rPr>
          <w:b/>
          <w:color w:val="3A3D41"/>
          <w:sz w:val="24"/>
          <w:szCs w:val="24"/>
        </w:rPr>
      </w:pPr>
    </w:p>
    <w:p w14:paraId="02B331D1" w14:textId="3138FB80" w:rsidR="00A27AC2" w:rsidRDefault="00C63EF7" w:rsidP="00CC5AE7">
      <w:pPr>
        <w:pStyle w:val="Heading3"/>
        <w:ind w:left="0"/>
      </w:pPr>
      <w:bookmarkStart w:id="48" w:name="_Toc168982245"/>
      <w:r>
        <w:t xml:space="preserve">2.6.2 </w:t>
      </w:r>
      <w:r w:rsidR="009C0578">
        <w:t>Freedom of information</w:t>
      </w:r>
      <w:bookmarkEnd w:id="48"/>
    </w:p>
    <w:p w14:paraId="2F8AC943" w14:textId="77777777" w:rsidR="00A27AC2" w:rsidRDefault="009C0578" w:rsidP="00CC5AE7">
      <w:pPr>
        <w:pBdr>
          <w:top w:val="nil"/>
          <w:left w:val="nil"/>
          <w:bottom w:val="nil"/>
          <w:right w:val="nil"/>
          <w:between w:val="nil"/>
        </w:pBdr>
        <w:rPr>
          <w:color w:val="000000"/>
        </w:rPr>
      </w:pPr>
      <w:r>
        <w:rPr>
          <w:color w:val="000000"/>
        </w:rPr>
        <w:t>The Freedom of Information Act 2000 gives the right to access official information held by a public authority. (</w:t>
      </w:r>
      <w:r>
        <w:t xml:space="preserve">For ease of drafting, FOI is used to also cover </w:t>
      </w:r>
      <w:r>
        <w:rPr>
          <w:color w:val="000000"/>
        </w:rPr>
        <w:t>the Environmental Information Regulations 2004.) All parties</w:t>
      </w:r>
      <w:r>
        <w:t xml:space="preserve"> subject to FOI</w:t>
      </w:r>
      <w:r>
        <w:rPr>
          <w:color w:val="000000"/>
        </w:rPr>
        <w:t xml:space="preserve"> have recognised procedures in place for managing</w:t>
      </w:r>
      <w:r>
        <w:t xml:space="preserve"> such</w:t>
      </w:r>
      <w:r>
        <w:rPr>
          <w:color w:val="000000"/>
        </w:rPr>
        <w:t xml:space="preserve"> requests.  </w:t>
      </w:r>
    </w:p>
    <w:p w14:paraId="7A57DADE" w14:textId="77777777" w:rsidR="00A27AC2" w:rsidRDefault="009C0578" w:rsidP="00CC5AE7">
      <w:pPr>
        <w:pBdr>
          <w:top w:val="nil"/>
          <w:left w:val="nil"/>
          <w:bottom w:val="nil"/>
          <w:right w:val="nil"/>
          <w:between w:val="nil"/>
        </w:pBdr>
      </w:pPr>
      <w:r>
        <w:rPr>
          <w:color w:val="000000"/>
        </w:rPr>
        <w:t>All requests for FOI will be directed through the relevant organisation</w:t>
      </w:r>
      <w:r>
        <w:t>’</w:t>
      </w:r>
      <w:r>
        <w:rPr>
          <w:color w:val="000000"/>
        </w:rPr>
        <w:t xml:space="preserve">s FOI processes. Each party will seek advice/opinion from the other parties where there is concern about that information being released and any impact it is likely to have.  The final decision to disclose or not will lie with the party who </w:t>
      </w:r>
      <w:r>
        <w:t>received the request as the legal duty lies with them</w:t>
      </w:r>
      <w:r>
        <w:rPr>
          <w:color w:val="000000"/>
        </w:rPr>
        <w:t>.</w:t>
      </w:r>
      <w:r>
        <w:t xml:space="preserve"> </w:t>
      </w:r>
    </w:p>
    <w:p w14:paraId="17746B17" w14:textId="673C6D73" w:rsidR="00A27AC2" w:rsidRDefault="009C0578" w:rsidP="5F6EF86C">
      <w:pPr>
        <w:pBdr>
          <w:top w:val="nil"/>
          <w:left w:val="nil"/>
          <w:bottom w:val="nil"/>
          <w:right w:val="nil"/>
          <w:between w:val="nil"/>
        </w:pBdr>
        <w:rPr>
          <w:color w:val="000000"/>
        </w:rPr>
      </w:pPr>
      <w:r w:rsidRPr="5F6EF86C">
        <w:rPr>
          <w:color w:val="000000" w:themeColor="text1"/>
        </w:rPr>
        <w:t>It is encouraged that all parties proactively publish this document. It may also be disclosed by any party to the public under FOI.</w:t>
      </w:r>
    </w:p>
    <w:p w14:paraId="683D0F52" w14:textId="179E9249" w:rsidR="00A27AC2" w:rsidRDefault="18324EA3" w:rsidP="18324EA3">
      <w:pPr>
        <w:pStyle w:val="Heading1"/>
        <w:ind w:left="0" w:firstLine="0"/>
      </w:pPr>
      <w:bookmarkStart w:id="49" w:name="_Toc168982246"/>
      <w:r>
        <w:t xml:space="preserve">3. </w:t>
      </w:r>
      <w:r w:rsidR="009C0578">
        <w:t>Individuals</w:t>
      </w:r>
      <w:bookmarkEnd w:id="49"/>
    </w:p>
    <w:p w14:paraId="09819EF3" w14:textId="77777777" w:rsidR="00A27AC2" w:rsidRDefault="009C0578" w:rsidP="00CC5AE7">
      <w:pPr>
        <w:pBdr>
          <w:top w:val="nil"/>
          <w:left w:val="nil"/>
          <w:bottom w:val="nil"/>
          <w:right w:val="nil"/>
          <w:between w:val="nil"/>
        </w:pBdr>
      </w:pPr>
      <w:r>
        <w:rPr>
          <w:color w:val="000000"/>
        </w:rPr>
        <w:t>Organisations processing personal data are required to begin with the ethos of Data Protection by Design and Default (also known as Privacy by Design</w:t>
      </w:r>
      <w:r>
        <w:t>)</w:t>
      </w:r>
      <w:r>
        <w:rPr>
          <w:color w:val="000000"/>
        </w:rPr>
        <w:t xml:space="preserve">. </w:t>
      </w:r>
      <w:r>
        <w:t>W</w:t>
      </w:r>
      <w:r>
        <w:rPr>
          <w:color w:val="000000"/>
        </w:rPr>
        <w:t>e must consider and uphold the privacy of an individual’s data before we begin and throughout the processing taking place.</w:t>
      </w:r>
    </w:p>
    <w:p w14:paraId="4CBB81CE" w14:textId="77777777" w:rsidR="00A27AC2" w:rsidRDefault="00A27AC2" w:rsidP="00CC5AE7">
      <w:pPr>
        <w:pBdr>
          <w:top w:val="nil"/>
          <w:left w:val="nil"/>
          <w:bottom w:val="nil"/>
          <w:right w:val="nil"/>
          <w:between w:val="nil"/>
        </w:pBdr>
        <w:rPr>
          <w:color w:val="000000"/>
        </w:rPr>
      </w:pPr>
    </w:p>
    <w:p w14:paraId="506F9826" w14:textId="53829B63" w:rsidR="00A27AC2" w:rsidRDefault="009C0578" w:rsidP="00F236C4">
      <w:pPr>
        <w:pStyle w:val="Heading2"/>
        <w:numPr>
          <w:ilvl w:val="1"/>
          <w:numId w:val="18"/>
        </w:numPr>
        <w:ind w:left="567" w:hanging="545"/>
      </w:pPr>
      <w:bookmarkStart w:id="50" w:name="_Toc168982247"/>
      <w:r>
        <w:t>Data subject rights requests and complaints</w:t>
      </w:r>
      <w:bookmarkEnd w:id="50"/>
    </w:p>
    <w:p w14:paraId="642CBB40" w14:textId="77777777" w:rsidR="00A27AC2" w:rsidRDefault="009C0578" w:rsidP="00CC5AE7">
      <w:pPr>
        <w:pBdr>
          <w:top w:val="nil"/>
          <w:left w:val="nil"/>
          <w:bottom w:val="nil"/>
          <w:right w:val="nil"/>
          <w:between w:val="nil"/>
        </w:pBdr>
      </w:pPr>
      <w:r>
        <w:rPr>
          <w:color w:val="000000"/>
        </w:rPr>
        <w:t xml:space="preserve">Each party has appropriate policies and processes for meeting individual rights and </w:t>
      </w:r>
      <w:r>
        <w:t>handling complaints</w:t>
      </w:r>
      <w:r>
        <w:rPr>
          <w:color w:val="000000"/>
        </w:rPr>
        <w:t>.</w:t>
      </w:r>
      <w:r>
        <w:t xml:space="preserve"> </w:t>
      </w:r>
    </w:p>
    <w:p w14:paraId="7BB7A6AB" w14:textId="5747CEA1" w:rsidR="00962024" w:rsidRDefault="009C0578" w:rsidP="00CC5AE7">
      <w:r>
        <w:t>The parties should describe below how they meet their duties for individual rights, including where one or more parties is responsible for meeting a right on behalf of other parties. For example, one party may be solely responsible for responding to subject access requests or ensuring suitable security for a shared system.</w:t>
      </w:r>
    </w:p>
    <w:p w14:paraId="78CEDDA9" w14:textId="77777777" w:rsidR="00962024" w:rsidRDefault="00962024">
      <w:r>
        <w:br w:type="page"/>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4756"/>
        <w:gridCol w:w="5444"/>
      </w:tblGrid>
      <w:tr w:rsidR="00A27AC2" w14:paraId="2CE2FB3D" w14:textId="77777777" w:rsidTr="00DD2483">
        <w:trPr>
          <w:trHeight w:val="420"/>
        </w:trPr>
        <w:tc>
          <w:tcPr>
            <w:tcW w:w="4756" w:type="dxa"/>
            <w:shd w:val="clear" w:color="auto" w:fill="D9D9D9"/>
            <w:tcMar>
              <w:top w:w="100" w:type="dxa"/>
              <w:left w:w="100" w:type="dxa"/>
              <w:bottom w:w="100" w:type="dxa"/>
              <w:right w:w="100" w:type="dxa"/>
            </w:tcMar>
          </w:tcPr>
          <w:p w14:paraId="4F81DF1D" w14:textId="77777777" w:rsidR="00A27AC2" w:rsidRDefault="009C0578" w:rsidP="00CC5AE7">
            <w:pPr>
              <w:widowControl w:val="0"/>
              <w:pBdr>
                <w:top w:val="nil"/>
                <w:left w:val="nil"/>
                <w:bottom w:val="nil"/>
                <w:right w:val="nil"/>
                <w:between w:val="nil"/>
              </w:pBdr>
              <w:spacing w:before="0" w:after="0" w:line="240" w:lineRule="auto"/>
              <w:rPr>
                <w:b/>
              </w:rPr>
            </w:pPr>
            <w:r>
              <w:rPr>
                <w:b/>
              </w:rPr>
              <w:lastRenderedPageBreak/>
              <w:t>Individual right</w:t>
            </w:r>
          </w:p>
        </w:tc>
        <w:tc>
          <w:tcPr>
            <w:tcW w:w="5444" w:type="dxa"/>
            <w:shd w:val="clear" w:color="auto" w:fill="D9D9D9"/>
            <w:tcMar>
              <w:top w:w="100" w:type="dxa"/>
              <w:left w:w="100" w:type="dxa"/>
              <w:bottom w:w="100" w:type="dxa"/>
              <w:right w:w="100" w:type="dxa"/>
            </w:tcMar>
          </w:tcPr>
          <w:p w14:paraId="44593214" w14:textId="77777777" w:rsidR="00A27AC2" w:rsidRDefault="009C0578" w:rsidP="00CC5AE7">
            <w:pPr>
              <w:widowControl w:val="0"/>
              <w:spacing w:before="0" w:after="0" w:line="240" w:lineRule="auto"/>
            </w:pPr>
            <w:r>
              <w:rPr>
                <w:b/>
              </w:rPr>
              <w:t xml:space="preserve">How the Parties will comply </w:t>
            </w:r>
            <w:r>
              <w:t>(or state not applicable if the right does not apply)</w:t>
            </w:r>
          </w:p>
        </w:tc>
      </w:tr>
      <w:tr w:rsidR="001244E8" w14:paraId="673637D3" w14:textId="77777777" w:rsidTr="00DD2483">
        <w:trPr>
          <w:trHeight w:val="3542"/>
        </w:trPr>
        <w:tc>
          <w:tcPr>
            <w:tcW w:w="4756" w:type="dxa"/>
            <w:shd w:val="clear" w:color="auto" w:fill="auto"/>
            <w:tcMar>
              <w:top w:w="100" w:type="dxa"/>
              <w:left w:w="100" w:type="dxa"/>
              <w:bottom w:w="100" w:type="dxa"/>
              <w:right w:w="100" w:type="dxa"/>
            </w:tcMar>
          </w:tcPr>
          <w:p w14:paraId="1ACD2210" w14:textId="77777777" w:rsidR="001244E8" w:rsidRDefault="001244E8" w:rsidP="00CC5AE7">
            <w:pPr>
              <w:widowControl w:val="0"/>
              <w:pBdr>
                <w:top w:val="nil"/>
                <w:left w:val="nil"/>
                <w:bottom w:val="nil"/>
                <w:right w:val="nil"/>
                <w:between w:val="nil"/>
              </w:pBdr>
              <w:spacing w:before="0" w:after="0" w:line="240" w:lineRule="auto"/>
            </w:pPr>
            <w:r>
              <w:rPr>
                <w:b/>
              </w:rPr>
              <w:t>The right to be informed</w:t>
            </w:r>
            <w:r>
              <w:t xml:space="preserve"> about the collection and use of personal data.</w:t>
            </w:r>
          </w:p>
        </w:tc>
        <w:tc>
          <w:tcPr>
            <w:tcW w:w="5444" w:type="dxa"/>
            <w:shd w:val="clear" w:color="auto" w:fill="auto"/>
            <w:tcMar>
              <w:top w:w="100" w:type="dxa"/>
              <w:left w:w="100" w:type="dxa"/>
              <w:bottom w:w="100" w:type="dxa"/>
              <w:right w:w="100" w:type="dxa"/>
            </w:tcMar>
          </w:tcPr>
          <w:p w14:paraId="09FD7DD7" w14:textId="32886AF8" w:rsidR="001244E8" w:rsidRDefault="001244E8" w:rsidP="00CC5AE7">
            <w:pPr>
              <w:widowControl w:val="0"/>
              <w:pBdr>
                <w:top w:val="nil"/>
                <w:left w:val="nil"/>
                <w:bottom w:val="nil"/>
                <w:right w:val="nil"/>
                <w:between w:val="nil"/>
              </w:pBdr>
              <w:spacing w:before="0" w:after="0" w:line="240" w:lineRule="auto"/>
            </w:pPr>
            <w:r>
              <w:t xml:space="preserve">Privacy notice(s) for all relevant organisations </w:t>
            </w:r>
          </w:p>
          <w:p w14:paraId="38DB78C1" w14:textId="77777777" w:rsidR="001244E8" w:rsidRDefault="001244E8" w:rsidP="00CC5AE7">
            <w:pPr>
              <w:widowControl w:val="0"/>
              <w:pBdr>
                <w:top w:val="nil"/>
                <w:left w:val="nil"/>
                <w:bottom w:val="nil"/>
                <w:right w:val="nil"/>
                <w:between w:val="nil"/>
              </w:pBdr>
              <w:spacing w:before="0" w:after="0" w:line="240" w:lineRule="auto"/>
            </w:pPr>
            <w:r>
              <w:t>Local authority privacy notices already describe a council’s wellbeing duties under the Care Act 2014.</w:t>
            </w:r>
          </w:p>
          <w:p w14:paraId="38350D3D" w14:textId="77777777" w:rsidR="001244E8" w:rsidRDefault="001244E8" w:rsidP="00CC5AE7">
            <w:pPr>
              <w:widowControl w:val="0"/>
              <w:pBdr>
                <w:top w:val="nil"/>
                <w:left w:val="nil"/>
                <w:bottom w:val="nil"/>
                <w:right w:val="nil"/>
                <w:between w:val="nil"/>
              </w:pBdr>
              <w:spacing w:before="0" w:after="0" w:line="240" w:lineRule="auto"/>
            </w:pPr>
            <w:r>
              <w:t>There are also multiple campaigns to notify the public about the digital switchover and the need to inform the CP if the customer uses a telecare device.</w:t>
            </w:r>
          </w:p>
          <w:p w14:paraId="6649C083" w14:textId="62A87449" w:rsidR="001244E8" w:rsidRDefault="001244E8" w:rsidP="00CC5AE7">
            <w:pPr>
              <w:widowControl w:val="0"/>
              <w:pBdr>
                <w:top w:val="nil"/>
                <w:left w:val="nil"/>
                <w:bottom w:val="nil"/>
                <w:right w:val="nil"/>
                <w:between w:val="nil"/>
              </w:pBdr>
              <w:spacing w:before="0" w:after="0" w:line="240" w:lineRule="auto"/>
            </w:pPr>
            <w:r>
              <w:t>Information leaflets</w:t>
            </w:r>
            <w:r>
              <w:br/>
            </w:r>
          </w:p>
          <w:p w14:paraId="366B5C40" w14:textId="77777777" w:rsidR="001244E8" w:rsidRDefault="001244E8" w:rsidP="00F236C4">
            <w:pPr>
              <w:pStyle w:val="ListParagraph"/>
              <w:widowControl w:val="0"/>
              <w:numPr>
                <w:ilvl w:val="0"/>
                <w:numId w:val="10"/>
              </w:numPr>
              <w:spacing w:before="0" w:after="0" w:line="240" w:lineRule="auto"/>
            </w:pPr>
            <w:r>
              <w:t>Posters</w:t>
            </w:r>
          </w:p>
          <w:p w14:paraId="4FBEC3FD" w14:textId="77777777" w:rsidR="001244E8" w:rsidRDefault="001244E8" w:rsidP="00F236C4">
            <w:pPr>
              <w:pStyle w:val="ListParagraph"/>
              <w:widowControl w:val="0"/>
              <w:numPr>
                <w:ilvl w:val="0"/>
                <w:numId w:val="10"/>
              </w:numPr>
              <w:spacing w:before="0" w:after="0" w:line="240" w:lineRule="auto"/>
            </w:pPr>
            <w:r>
              <w:t>Letters</w:t>
            </w:r>
          </w:p>
          <w:p w14:paraId="64719859" w14:textId="77777777" w:rsidR="001244E8" w:rsidRDefault="001244E8" w:rsidP="00F236C4">
            <w:pPr>
              <w:pStyle w:val="ListParagraph"/>
              <w:widowControl w:val="0"/>
              <w:numPr>
                <w:ilvl w:val="0"/>
                <w:numId w:val="10"/>
              </w:numPr>
              <w:spacing w:before="0" w:after="0" w:line="240" w:lineRule="auto"/>
            </w:pPr>
            <w:r>
              <w:t>Emails</w:t>
            </w:r>
          </w:p>
          <w:p w14:paraId="74EE8D8F" w14:textId="77777777" w:rsidR="001244E8" w:rsidRDefault="001244E8" w:rsidP="00F236C4">
            <w:pPr>
              <w:pStyle w:val="ListParagraph"/>
              <w:widowControl w:val="0"/>
              <w:numPr>
                <w:ilvl w:val="0"/>
                <w:numId w:val="10"/>
              </w:numPr>
              <w:spacing w:before="0" w:after="0" w:line="240" w:lineRule="auto"/>
            </w:pPr>
            <w:r>
              <w:t>Texts</w:t>
            </w:r>
          </w:p>
          <w:p w14:paraId="7EB9911E" w14:textId="77777777" w:rsidR="001244E8" w:rsidRDefault="001244E8" w:rsidP="00F236C4">
            <w:pPr>
              <w:pStyle w:val="ListParagraph"/>
              <w:widowControl w:val="0"/>
              <w:numPr>
                <w:ilvl w:val="0"/>
                <w:numId w:val="10"/>
              </w:numPr>
              <w:spacing w:before="0" w:after="0" w:line="240" w:lineRule="auto"/>
            </w:pPr>
            <w:r>
              <w:t>Social media campaign</w:t>
            </w:r>
          </w:p>
          <w:p w14:paraId="30013AF0" w14:textId="77777777" w:rsidR="001244E8" w:rsidRDefault="001244E8" w:rsidP="00F236C4">
            <w:pPr>
              <w:pStyle w:val="ListParagraph"/>
              <w:widowControl w:val="0"/>
              <w:numPr>
                <w:ilvl w:val="0"/>
                <w:numId w:val="10"/>
              </w:numPr>
              <w:spacing w:before="0" w:after="0" w:line="240" w:lineRule="auto"/>
            </w:pPr>
            <w:r>
              <w:t>Other [please state]</w:t>
            </w:r>
          </w:p>
          <w:p w14:paraId="5CD15EFF" w14:textId="3A3ED996" w:rsidR="001244E8" w:rsidRDefault="001244E8" w:rsidP="00F236C4">
            <w:pPr>
              <w:pStyle w:val="ListParagraph"/>
              <w:widowControl w:val="0"/>
              <w:numPr>
                <w:ilvl w:val="0"/>
                <w:numId w:val="10"/>
              </w:numPr>
              <w:spacing w:before="0" w:after="0" w:line="240" w:lineRule="auto"/>
            </w:pPr>
            <w:r>
              <w:t>Not applicable</w:t>
            </w:r>
          </w:p>
        </w:tc>
      </w:tr>
      <w:tr w:rsidR="00A27AC2" w14:paraId="2AE2B4B3" w14:textId="77777777" w:rsidTr="00DD2483">
        <w:trPr>
          <w:trHeight w:val="1085"/>
        </w:trPr>
        <w:tc>
          <w:tcPr>
            <w:tcW w:w="4756" w:type="dxa"/>
            <w:shd w:val="clear" w:color="auto" w:fill="auto"/>
            <w:tcMar>
              <w:top w:w="100" w:type="dxa"/>
              <w:left w:w="100" w:type="dxa"/>
              <w:bottom w:w="100" w:type="dxa"/>
              <w:right w:w="100" w:type="dxa"/>
            </w:tcMar>
          </w:tcPr>
          <w:p w14:paraId="43A97630" w14:textId="77777777" w:rsidR="00A27AC2" w:rsidRDefault="009C0578" w:rsidP="00CC5AE7">
            <w:pPr>
              <w:widowControl w:val="0"/>
              <w:pBdr>
                <w:top w:val="nil"/>
                <w:left w:val="nil"/>
                <w:bottom w:val="nil"/>
                <w:right w:val="nil"/>
                <w:between w:val="nil"/>
              </w:pBdr>
              <w:spacing w:before="0" w:after="0" w:line="240" w:lineRule="auto"/>
            </w:pPr>
            <w:r>
              <w:rPr>
                <w:b/>
              </w:rPr>
              <w:t xml:space="preserve">The right of access </w:t>
            </w:r>
            <w:r>
              <w:t>to details of data use and to receive a copy of their personal data, commonly called a subject access request.</w:t>
            </w:r>
          </w:p>
        </w:tc>
        <w:tc>
          <w:tcPr>
            <w:tcW w:w="5444" w:type="dxa"/>
            <w:tcMar>
              <w:top w:w="100" w:type="dxa"/>
              <w:left w:w="100" w:type="dxa"/>
              <w:bottom w:w="100" w:type="dxa"/>
              <w:right w:w="100" w:type="dxa"/>
            </w:tcMar>
          </w:tcPr>
          <w:p w14:paraId="3FD0087F" w14:textId="5ABC1185" w:rsidR="00A27AC2" w:rsidRDefault="009C0578" w:rsidP="00CC5AE7">
            <w:pPr>
              <w:widowControl w:val="0"/>
              <w:pBdr>
                <w:top w:val="nil"/>
                <w:left w:val="nil"/>
                <w:bottom w:val="nil"/>
                <w:right w:val="nil"/>
                <w:between w:val="nil"/>
              </w:pBdr>
              <w:spacing w:before="0" w:after="0" w:line="240" w:lineRule="auto"/>
            </w:pPr>
            <w:r>
              <w:t xml:space="preserve">The parties have existing processes for handling data subject requests. </w:t>
            </w:r>
          </w:p>
        </w:tc>
      </w:tr>
      <w:tr w:rsidR="00A27AC2" w14:paraId="0E1E5006" w14:textId="77777777" w:rsidTr="00DD2483">
        <w:trPr>
          <w:trHeight w:val="420"/>
        </w:trPr>
        <w:tc>
          <w:tcPr>
            <w:tcW w:w="4756" w:type="dxa"/>
            <w:shd w:val="clear" w:color="auto" w:fill="auto"/>
            <w:tcMar>
              <w:top w:w="100" w:type="dxa"/>
              <w:left w:w="100" w:type="dxa"/>
              <w:bottom w:w="100" w:type="dxa"/>
              <w:right w:w="100" w:type="dxa"/>
            </w:tcMar>
          </w:tcPr>
          <w:p w14:paraId="563AF238" w14:textId="77777777" w:rsidR="00A27AC2" w:rsidRDefault="009C0578" w:rsidP="00CC5AE7">
            <w:pPr>
              <w:widowControl w:val="0"/>
              <w:pBdr>
                <w:top w:val="nil"/>
                <w:left w:val="nil"/>
                <w:bottom w:val="nil"/>
                <w:right w:val="nil"/>
                <w:between w:val="nil"/>
              </w:pBdr>
              <w:spacing w:before="0" w:after="0" w:line="240" w:lineRule="auto"/>
            </w:pPr>
            <w:r>
              <w:rPr>
                <w:b/>
              </w:rPr>
              <w:t>The right to rectification</w:t>
            </w:r>
            <w:r>
              <w:t xml:space="preserve"> to have inaccurate personal data rectified or completed if it is incomplete.</w:t>
            </w:r>
          </w:p>
        </w:tc>
        <w:tc>
          <w:tcPr>
            <w:tcW w:w="5444" w:type="dxa"/>
            <w:tcMar>
              <w:top w:w="100" w:type="dxa"/>
              <w:left w:w="100" w:type="dxa"/>
              <w:bottom w:w="100" w:type="dxa"/>
              <w:right w:w="100" w:type="dxa"/>
            </w:tcMar>
          </w:tcPr>
          <w:p w14:paraId="348FDD01" w14:textId="7BF90CC1" w:rsidR="00A27AC2" w:rsidRDefault="009C0578" w:rsidP="00CC5AE7">
            <w:pPr>
              <w:widowControl w:val="0"/>
              <w:spacing w:before="0" w:after="0" w:line="240" w:lineRule="auto"/>
            </w:pPr>
            <w:r>
              <w:t>The parties have existing processes. The parties must establish ways to communicate, to share when data is rectified, to ensure it can be rectified in the other party’s system.</w:t>
            </w:r>
          </w:p>
        </w:tc>
      </w:tr>
      <w:tr w:rsidR="00A27AC2" w14:paraId="522E8CBB" w14:textId="77777777" w:rsidTr="00DD2483">
        <w:trPr>
          <w:trHeight w:val="420"/>
        </w:trPr>
        <w:tc>
          <w:tcPr>
            <w:tcW w:w="4756" w:type="dxa"/>
            <w:shd w:val="clear" w:color="auto" w:fill="auto"/>
            <w:tcMar>
              <w:top w:w="100" w:type="dxa"/>
              <w:left w:w="100" w:type="dxa"/>
              <w:bottom w:w="100" w:type="dxa"/>
              <w:right w:w="100" w:type="dxa"/>
            </w:tcMar>
          </w:tcPr>
          <w:p w14:paraId="3BF0B5CB" w14:textId="77777777" w:rsidR="00A27AC2" w:rsidRDefault="009C0578" w:rsidP="00CC5AE7">
            <w:pPr>
              <w:widowControl w:val="0"/>
              <w:pBdr>
                <w:top w:val="nil"/>
                <w:left w:val="nil"/>
                <w:bottom w:val="nil"/>
                <w:right w:val="nil"/>
                <w:between w:val="nil"/>
              </w:pBdr>
              <w:spacing w:before="0" w:after="0" w:line="240" w:lineRule="auto"/>
              <w:rPr>
                <w:b/>
              </w:rPr>
            </w:pPr>
            <w:r>
              <w:rPr>
                <w:b/>
              </w:rPr>
              <w:t>The right to erasure</w:t>
            </w:r>
          </w:p>
          <w:p w14:paraId="1C7B0EC1" w14:textId="77777777" w:rsidR="00A27AC2" w:rsidRDefault="009C0578" w:rsidP="00CC5AE7">
            <w:pPr>
              <w:widowControl w:val="0"/>
              <w:pBdr>
                <w:top w:val="nil"/>
                <w:left w:val="nil"/>
                <w:bottom w:val="nil"/>
                <w:right w:val="nil"/>
                <w:between w:val="nil"/>
              </w:pBdr>
              <w:spacing w:before="0" w:after="0" w:line="240" w:lineRule="auto"/>
              <w:rPr>
                <w:b/>
              </w:rPr>
            </w:pPr>
            <w:r>
              <w:t>(Does not apply when using the lawful basis conditions of Article 6: legal obligation, public task or legal claims, or Article 9: health and care services, public health or archiving, research or statistical purposes.)</w:t>
            </w:r>
          </w:p>
        </w:tc>
        <w:tc>
          <w:tcPr>
            <w:tcW w:w="5444" w:type="dxa"/>
            <w:tcMar>
              <w:top w:w="100" w:type="dxa"/>
              <w:left w:w="100" w:type="dxa"/>
              <w:bottom w:w="100" w:type="dxa"/>
              <w:right w:w="100" w:type="dxa"/>
            </w:tcMar>
          </w:tcPr>
          <w:p w14:paraId="37F1CC11" w14:textId="77777777" w:rsidR="00A27AC2" w:rsidRDefault="009C0578" w:rsidP="00CC5AE7">
            <w:pPr>
              <w:widowControl w:val="0"/>
              <w:spacing w:before="0" w:after="0" w:line="240" w:lineRule="auto"/>
            </w:pPr>
            <w:r>
              <w:t>N/A</w:t>
            </w:r>
          </w:p>
        </w:tc>
      </w:tr>
      <w:tr w:rsidR="00A27AC2" w14:paraId="44F45DBB" w14:textId="77777777" w:rsidTr="00DD2483">
        <w:trPr>
          <w:trHeight w:val="420"/>
        </w:trPr>
        <w:tc>
          <w:tcPr>
            <w:tcW w:w="4756" w:type="dxa"/>
            <w:shd w:val="clear" w:color="auto" w:fill="auto"/>
            <w:tcMar>
              <w:top w:w="100" w:type="dxa"/>
              <w:left w:w="100" w:type="dxa"/>
              <w:bottom w:w="100" w:type="dxa"/>
              <w:right w:w="100" w:type="dxa"/>
            </w:tcMar>
          </w:tcPr>
          <w:p w14:paraId="5ED9B2A1" w14:textId="77777777" w:rsidR="00A27AC2" w:rsidRDefault="009C0578" w:rsidP="00CC5AE7">
            <w:pPr>
              <w:widowControl w:val="0"/>
              <w:pBdr>
                <w:top w:val="nil"/>
                <w:left w:val="nil"/>
                <w:bottom w:val="nil"/>
                <w:right w:val="nil"/>
                <w:between w:val="nil"/>
              </w:pBdr>
              <w:spacing w:before="0" w:after="0" w:line="240" w:lineRule="auto"/>
              <w:rPr>
                <w:b/>
              </w:rPr>
            </w:pPr>
            <w:r>
              <w:rPr>
                <w:b/>
              </w:rPr>
              <w:t>The right to restrict processing</w:t>
            </w:r>
          </w:p>
          <w:p w14:paraId="60A6BC61" w14:textId="77777777" w:rsidR="00A27AC2" w:rsidRDefault="009C0578" w:rsidP="00CC5AE7">
            <w:pPr>
              <w:widowControl w:val="0"/>
              <w:pBdr>
                <w:top w:val="nil"/>
                <w:left w:val="nil"/>
                <w:bottom w:val="nil"/>
                <w:right w:val="nil"/>
                <w:between w:val="nil"/>
              </w:pBdr>
              <w:spacing w:before="0" w:after="0" w:line="240" w:lineRule="auto"/>
            </w:pPr>
            <w:r>
              <w:t>and limit how their data is used.</w:t>
            </w:r>
          </w:p>
        </w:tc>
        <w:tc>
          <w:tcPr>
            <w:tcW w:w="5444" w:type="dxa"/>
            <w:shd w:val="clear" w:color="auto" w:fill="D9D9D9"/>
            <w:tcMar>
              <w:top w:w="100" w:type="dxa"/>
              <w:left w:w="100" w:type="dxa"/>
              <w:bottom w:w="100" w:type="dxa"/>
              <w:right w:w="100" w:type="dxa"/>
            </w:tcMar>
          </w:tcPr>
          <w:p w14:paraId="7795B2AC" w14:textId="77777777" w:rsidR="00A27AC2" w:rsidRDefault="009C0578" w:rsidP="00CC5AE7">
            <w:pPr>
              <w:widowControl w:val="0"/>
              <w:spacing w:before="0" w:after="0" w:line="240" w:lineRule="auto"/>
            </w:pPr>
            <w:r>
              <w:t>Does not apply to this DSA.</w:t>
            </w:r>
          </w:p>
        </w:tc>
      </w:tr>
      <w:tr w:rsidR="00A27AC2" w14:paraId="622E7FAB" w14:textId="77777777" w:rsidTr="00DD2483">
        <w:trPr>
          <w:trHeight w:val="420"/>
        </w:trPr>
        <w:tc>
          <w:tcPr>
            <w:tcW w:w="4756" w:type="dxa"/>
            <w:shd w:val="clear" w:color="auto" w:fill="auto"/>
            <w:tcMar>
              <w:top w:w="100" w:type="dxa"/>
              <w:left w:w="100" w:type="dxa"/>
              <w:bottom w:w="100" w:type="dxa"/>
              <w:right w:w="100" w:type="dxa"/>
            </w:tcMar>
          </w:tcPr>
          <w:p w14:paraId="6DBCA27A" w14:textId="77777777" w:rsidR="00A27AC2" w:rsidRDefault="009C0578" w:rsidP="00CC5AE7">
            <w:pPr>
              <w:widowControl w:val="0"/>
              <w:pBdr>
                <w:top w:val="nil"/>
                <w:left w:val="nil"/>
                <w:bottom w:val="nil"/>
                <w:right w:val="nil"/>
                <w:between w:val="nil"/>
              </w:pBdr>
              <w:spacing w:before="0" w:after="0" w:line="240" w:lineRule="auto"/>
            </w:pPr>
            <w:r>
              <w:rPr>
                <w:b/>
              </w:rPr>
              <w:t>The right to data portability</w:t>
            </w:r>
            <w:r>
              <w:t xml:space="preserve"> to obtain and re-use their personal data.</w:t>
            </w:r>
          </w:p>
        </w:tc>
        <w:tc>
          <w:tcPr>
            <w:tcW w:w="5444" w:type="dxa"/>
            <w:shd w:val="clear" w:color="auto" w:fill="D9D9D9"/>
            <w:tcMar>
              <w:top w:w="100" w:type="dxa"/>
              <w:left w:w="100" w:type="dxa"/>
              <w:bottom w:w="100" w:type="dxa"/>
              <w:right w:w="100" w:type="dxa"/>
            </w:tcMar>
          </w:tcPr>
          <w:p w14:paraId="78B21076" w14:textId="77777777" w:rsidR="00A27AC2" w:rsidRDefault="009C0578" w:rsidP="00CC5AE7">
            <w:pPr>
              <w:widowControl w:val="0"/>
              <w:spacing w:before="0" w:after="0" w:line="240" w:lineRule="auto"/>
            </w:pPr>
            <w:r>
              <w:t>Does not apply to this DSA.</w:t>
            </w:r>
          </w:p>
        </w:tc>
      </w:tr>
      <w:tr w:rsidR="00A27AC2" w14:paraId="30DAB277" w14:textId="77777777" w:rsidTr="00DD2483">
        <w:trPr>
          <w:trHeight w:val="420"/>
        </w:trPr>
        <w:tc>
          <w:tcPr>
            <w:tcW w:w="4756" w:type="dxa"/>
            <w:shd w:val="clear" w:color="auto" w:fill="auto"/>
            <w:tcMar>
              <w:top w:w="100" w:type="dxa"/>
              <w:left w:w="100" w:type="dxa"/>
              <w:bottom w:w="100" w:type="dxa"/>
              <w:right w:w="100" w:type="dxa"/>
            </w:tcMar>
          </w:tcPr>
          <w:p w14:paraId="2CE4A641" w14:textId="77777777" w:rsidR="00A27AC2" w:rsidRDefault="009C0578" w:rsidP="00CC5AE7">
            <w:pPr>
              <w:widowControl w:val="0"/>
              <w:pBdr>
                <w:top w:val="nil"/>
                <w:left w:val="nil"/>
                <w:bottom w:val="nil"/>
                <w:right w:val="nil"/>
                <w:between w:val="nil"/>
              </w:pBdr>
              <w:spacing w:before="0" w:after="0" w:line="240" w:lineRule="auto"/>
            </w:pPr>
            <w:r>
              <w:rPr>
                <w:b/>
              </w:rPr>
              <w:t>The right to object</w:t>
            </w:r>
            <w:r>
              <w:t xml:space="preserve"> to the use and sharing of personal data where the parties are using the public interest or legitimate interests conditions It is unlikely that an objection would be upheld but each request must be considered on a case-by-case basis. </w:t>
            </w:r>
          </w:p>
        </w:tc>
        <w:tc>
          <w:tcPr>
            <w:tcW w:w="5444" w:type="dxa"/>
            <w:tcMar>
              <w:top w:w="100" w:type="dxa"/>
              <w:left w:w="100" w:type="dxa"/>
              <w:bottom w:w="100" w:type="dxa"/>
              <w:right w:w="100" w:type="dxa"/>
            </w:tcMar>
          </w:tcPr>
          <w:p w14:paraId="5ACACB00" w14:textId="77777777" w:rsidR="00A27AC2" w:rsidRDefault="009C0578" w:rsidP="00CC5AE7">
            <w:pPr>
              <w:widowControl w:val="0"/>
              <w:pBdr>
                <w:top w:val="nil"/>
                <w:left w:val="nil"/>
                <w:bottom w:val="nil"/>
                <w:right w:val="nil"/>
                <w:between w:val="nil"/>
              </w:pBdr>
              <w:spacing w:before="0" w:after="0" w:line="240" w:lineRule="auto"/>
            </w:pPr>
            <w:r>
              <w:t>It is unlikely that a request would be upheld, but the parties have existing processes for handling subject rights.</w:t>
            </w:r>
          </w:p>
        </w:tc>
      </w:tr>
    </w:tbl>
    <w:p w14:paraId="50FD558C" w14:textId="77777777" w:rsidR="00A27AC2" w:rsidRDefault="00A27AC2" w:rsidP="00CC5AE7">
      <w:pPr>
        <w:pBdr>
          <w:top w:val="nil"/>
          <w:left w:val="nil"/>
          <w:bottom w:val="nil"/>
          <w:right w:val="nil"/>
          <w:between w:val="nil"/>
        </w:pBdr>
      </w:pPr>
    </w:p>
    <w:p w14:paraId="21C7BF4B" w14:textId="77777777" w:rsidR="00A27AC2" w:rsidRPr="0016415A" w:rsidRDefault="009C0578" w:rsidP="00CC5AE7">
      <w:pPr>
        <w:pStyle w:val="Heading3"/>
        <w:ind w:left="0"/>
        <w:rPr>
          <w:color w:val="auto"/>
        </w:rPr>
      </w:pPr>
      <w:bookmarkStart w:id="51" w:name="_Toc168411294"/>
      <w:bookmarkStart w:id="52" w:name="_Toc168982248"/>
      <w:r w:rsidRPr="0016415A">
        <w:rPr>
          <w:color w:val="auto"/>
        </w:rPr>
        <w:t>Privacy information</w:t>
      </w:r>
      <w:bookmarkEnd w:id="51"/>
      <w:bookmarkEnd w:id="52"/>
    </w:p>
    <w:p w14:paraId="07025526" w14:textId="77777777" w:rsidR="00A27AC2" w:rsidRDefault="009C0578" w:rsidP="00CC5AE7">
      <w:r>
        <w:t xml:space="preserve">Where personal data is created or received by one of the parties, they are responsible for making the data subject(s) aware (within a reasonable time frame) that the organisation holds the data, what they do with it, how long they keep it, and who they share it with (such as under this DSA). This is normally done through a privacy notice, whether written or verbal. </w:t>
      </w:r>
    </w:p>
    <w:p w14:paraId="7A5E4C6A" w14:textId="77777777" w:rsidR="000642D9" w:rsidRDefault="000642D9" w:rsidP="00CC5AE7">
      <w:pPr>
        <w:widowControl w:val="0"/>
        <w:pBdr>
          <w:top w:val="nil"/>
          <w:left w:val="nil"/>
          <w:bottom w:val="nil"/>
          <w:right w:val="nil"/>
          <w:between w:val="nil"/>
        </w:pBdr>
        <w:spacing w:before="0" w:after="0" w:line="240" w:lineRule="auto"/>
      </w:pPr>
      <w:r>
        <w:t xml:space="preserve">Local authority privacy notices already describe a council’s wellbeing duties under the Care Act </w:t>
      </w:r>
      <w:r>
        <w:lastRenderedPageBreak/>
        <w:t>2014.</w:t>
      </w:r>
    </w:p>
    <w:p w14:paraId="51B8BA0D" w14:textId="3B9233A4" w:rsidR="00A27AC2" w:rsidRDefault="000642D9" w:rsidP="00CC5AE7">
      <w:r>
        <w:t xml:space="preserve">There are also multiple campaigns to notify the public about the digital switchover and the need to inform the CP if the customer uses a telecare device. Each party should document </w:t>
      </w:r>
      <w:r w:rsidR="00CC46AB">
        <w:t>what privacy information has been provided to individuals.</w:t>
      </w:r>
    </w:p>
    <w:p w14:paraId="4038DE60" w14:textId="77777777" w:rsidR="000642D9" w:rsidRDefault="000642D9" w:rsidP="00CC5AE7"/>
    <w:p w14:paraId="36C65A11" w14:textId="77777777" w:rsidR="00A27AC2" w:rsidRPr="0016415A" w:rsidRDefault="009C0578" w:rsidP="00CC5AE7">
      <w:pPr>
        <w:pStyle w:val="Heading3"/>
        <w:ind w:left="0"/>
        <w:rPr>
          <w:color w:val="auto"/>
        </w:rPr>
      </w:pPr>
      <w:bookmarkStart w:id="53" w:name="_Toc168411295"/>
      <w:bookmarkStart w:id="54" w:name="_Toc168982249"/>
      <w:r w:rsidRPr="0016415A">
        <w:rPr>
          <w:color w:val="auto"/>
        </w:rPr>
        <w:t>Rectification, erasure or restriction</w:t>
      </w:r>
      <w:bookmarkEnd w:id="53"/>
      <w:bookmarkEnd w:id="54"/>
    </w:p>
    <w:p w14:paraId="727A13BE" w14:textId="77777777" w:rsidR="00A27AC2" w:rsidRDefault="009C0578" w:rsidP="00CC5AE7">
      <w:r>
        <w:t>If an individual successfully requests the erasure or limitation of use of their data, the relevant party will communicate this to the other parties where appropriate. Each party is responsible for securely disposing of such information or limiting its processing.</w:t>
      </w:r>
    </w:p>
    <w:p w14:paraId="50544A7F" w14:textId="77777777" w:rsidR="00A27AC2" w:rsidRDefault="00A27AC2" w:rsidP="00CC5AE7"/>
    <w:p w14:paraId="4CBAC852" w14:textId="77777777" w:rsidR="00A27AC2" w:rsidRPr="0016415A" w:rsidRDefault="009C0578" w:rsidP="00CC5AE7">
      <w:pPr>
        <w:pStyle w:val="Heading3"/>
        <w:ind w:left="0"/>
        <w:rPr>
          <w:color w:val="auto"/>
        </w:rPr>
      </w:pPr>
      <w:bookmarkStart w:id="55" w:name="_Toc168411296"/>
      <w:bookmarkStart w:id="56" w:name="_Toc168982250"/>
      <w:r w:rsidRPr="0016415A">
        <w:rPr>
          <w:color w:val="auto"/>
        </w:rPr>
        <w:t>Complaints</w:t>
      </w:r>
      <w:bookmarkEnd w:id="55"/>
      <w:bookmarkEnd w:id="56"/>
    </w:p>
    <w:p w14:paraId="34A3D7FE" w14:textId="77777777" w:rsidR="00A27AC2" w:rsidRDefault="009C0578" w:rsidP="00CC5AE7">
      <w:r>
        <w:t xml:space="preserve">Each party has clear, fair and objective complaint procedures. </w:t>
      </w:r>
    </w:p>
    <w:p w14:paraId="0CA1FBD3" w14:textId="77777777" w:rsidR="00A27AC2" w:rsidRDefault="00A27AC2" w:rsidP="00CC5AE7"/>
    <w:p w14:paraId="3D468B3E" w14:textId="77777777" w:rsidR="00A27AC2" w:rsidRDefault="009C0578" w:rsidP="00CC5AE7">
      <w:r>
        <w:rPr>
          <w:b/>
        </w:rPr>
        <w:t xml:space="preserve">Describe how complaints will be handled - </w:t>
      </w:r>
      <w:r>
        <w:t>by individual parties or where one or more parties have responsibility on behalf of others</w:t>
      </w:r>
    </w:p>
    <w:p w14:paraId="733A6D3D" w14:textId="77777777" w:rsidR="00101EB6" w:rsidRDefault="00101EB6" w:rsidP="00CC5AE7">
      <w:pPr>
        <w:spacing w:before="240" w:after="240" w:line="240" w:lineRule="auto"/>
        <w:rPr>
          <w:b/>
        </w:rPr>
      </w:pPr>
      <w:r>
        <w:t xml:space="preserve">Parties have their own processes for handling complaints. Where the individual complaint warrants it, one party may share the complaint with the other to ensure the individual receives a suitable response. </w:t>
      </w:r>
    </w:p>
    <w:p w14:paraId="54E0D49E" w14:textId="77777777" w:rsidR="00A27AC2" w:rsidRDefault="00A27AC2" w:rsidP="00CC5AE7">
      <w:pPr>
        <w:pBdr>
          <w:top w:val="nil"/>
          <w:left w:val="nil"/>
          <w:bottom w:val="nil"/>
          <w:right w:val="nil"/>
          <w:between w:val="nil"/>
        </w:pBdr>
        <w:rPr>
          <w:color w:val="000000"/>
        </w:rPr>
      </w:pPr>
    </w:p>
    <w:p w14:paraId="50499474" w14:textId="77777777" w:rsidR="00A27AC2" w:rsidRDefault="009C0578" w:rsidP="00F236C4">
      <w:pPr>
        <w:pStyle w:val="Heading2"/>
        <w:numPr>
          <w:ilvl w:val="1"/>
          <w:numId w:val="18"/>
        </w:numPr>
        <w:ind w:left="709"/>
      </w:pPr>
      <w:bookmarkStart w:id="57" w:name="_Toc168982251"/>
      <w:r>
        <w:t>Data subjects</w:t>
      </w:r>
      <w:bookmarkEnd w:id="57"/>
    </w:p>
    <w:p w14:paraId="31D104ED" w14:textId="77777777" w:rsidR="00A27AC2" w:rsidRDefault="009C0578" w:rsidP="00CC5AE7">
      <w:pPr>
        <w:pBdr>
          <w:top w:val="nil"/>
          <w:left w:val="nil"/>
          <w:bottom w:val="nil"/>
          <w:right w:val="nil"/>
          <w:between w:val="nil"/>
        </w:pBdr>
      </w:pPr>
      <w:r>
        <w:t>Parties to this agreement are in positions of power over data subjects and data subjects have little or no control over why and how their data is processed. Many of the data subjects are vulnerable.</w:t>
      </w:r>
    </w:p>
    <w:p w14:paraId="3AB6C952" w14:textId="77777777" w:rsidR="00A27AC2" w:rsidRPr="00101EB6" w:rsidRDefault="009C0578" w:rsidP="00CC5AE7">
      <w:pPr>
        <w:pStyle w:val="Heading3"/>
        <w:ind w:left="0"/>
        <w:rPr>
          <w:color w:val="auto"/>
          <w:sz w:val="22"/>
          <w:szCs w:val="22"/>
        </w:rPr>
      </w:pPr>
      <w:bookmarkStart w:id="58" w:name="_Toc168411298"/>
      <w:bookmarkStart w:id="59" w:name="_Toc168982252"/>
      <w:r w:rsidRPr="00101EB6">
        <w:rPr>
          <w:color w:val="auto"/>
          <w:sz w:val="22"/>
          <w:szCs w:val="22"/>
        </w:rPr>
        <w:t>Types of data subjects</w:t>
      </w:r>
      <w:bookmarkEnd w:id="58"/>
      <w:bookmarkEnd w:id="59"/>
    </w:p>
    <w:p w14:paraId="6D7F3ADD" w14:textId="77777777" w:rsidR="00101EB6" w:rsidRDefault="00101EB6" w:rsidP="00F236C4">
      <w:pPr>
        <w:pStyle w:val="ListParagraph"/>
        <w:widowControl w:val="0"/>
        <w:numPr>
          <w:ilvl w:val="0"/>
          <w:numId w:val="15"/>
        </w:numPr>
        <w:tabs>
          <w:tab w:val="left" w:pos="925"/>
          <w:tab w:val="left" w:pos="5181"/>
          <w:tab w:val="left" w:pos="5994"/>
        </w:tabs>
        <w:spacing w:before="0" w:after="0" w:line="240" w:lineRule="auto"/>
      </w:pPr>
      <w:r>
        <w:t>Customers, service users, clients or residents</w:t>
      </w:r>
    </w:p>
    <w:p w14:paraId="3E8BA0D5" w14:textId="36E44030" w:rsidR="00101EB6" w:rsidRDefault="00101EB6" w:rsidP="00F236C4">
      <w:pPr>
        <w:pStyle w:val="ListParagraph"/>
        <w:widowControl w:val="0"/>
        <w:numPr>
          <w:ilvl w:val="0"/>
          <w:numId w:val="15"/>
        </w:numPr>
        <w:tabs>
          <w:tab w:val="left" w:pos="925"/>
          <w:tab w:val="left" w:pos="5181"/>
          <w:tab w:val="left" w:pos="5994"/>
        </w:tabs>
        <w:spacing w:before="0" w:after="0" w:line="240" w:lineRule="auto"/>
      </w:pPr>
      <w:r>
        <w:t>Carers/Guardians/Family/Support network/Next of Kin – where the account holder is not the vulnerable individual.</w:t>
      </w:r>
    </w:p>
    <w:p w14:paraId="6F5721E2" w14:textId="77777777" w:rsidR="00A27AC2" w:rsidRDefault="00A27AC2" w:rsidP="00CC5AE7">
      <w:pPr>
        <w:spacing w:before="0" w:after="0" w:line="240" w:lineRule="auto"/>
        <w:rPr>
          <w:color w:val="161618"/>
        </w:rPr>
      </w:pPr>
    </w:p>
    <w:p w14:paraId="6CF98983" w14:textId="77777777" w:rsidR="00A41019" w:rsidRPr="00A41019" w:rsidRDefault="00A41019" w:rsidP="00CC5AE7">
      <w:pPr>
        <w:pStyle w:val="Heading3"/>
        <w:ind w:left="0"/>
        <w:rPr>
          <w:color w:val="auto"/>
          <w:sz w:val="22"/>
          <w:szCs w:val="22"/>
        </w:rPr>
      </w:pPr>
      <w:bookmarkStart w:id="60" w:name="_Toc168411299"/>
      <w:bookmarkStart w:id="61" w:name="_Toc168982253"/>
      <w:r w:rsidRPr="00A41019">
        <w:rPr>
          <w:color w:val="auto"/>
          <w:sz w:val="22"/>
          <w:szCs w:val="22"/>
        </w:rPr>
        <w:t>Describe</w:t>
      </w:r>
      <w:bookmarkEnd w:id="60"/>
      <w:bookmarkEnd w:id="61"/>
    </w:p>
    <w:p w14:paraId="3C1D65F8" w14:textId="77777777" w:rsidR="00A41019" w:rsidRDefault="00A41019" w:rsidP="00CC5AE7">
      <w:pPr>
        <w:spacing w:before="240" w:after="240" w:line="240" w:lineRule="auto"/>
      </w:pPr>
      <w:r>
        <w:t>The data shared is of Adult Social Care (ASC) clients who are also communications provider (CP) customers. It is possible that the data is considered that of a carers or next of kin, where the ASC client has an advocate or lives with a carer or family member who ‘owns’ the telephone account and is the listed customer of the CP.</w:t>
      </w:r>
    </w:p>
    <w:p w14:paraId="6930C200" w14:textId="77777777" w:rsidR="00A27AC2" w:rsidRDefault="00A27AC2" w:rsidP="00CC5AE7">
      <w:pPr>
        <w:spacing w:before="0" w:after="0" w:line="240" w:lineRule="auto"/>
      </w:pPr>
    </w:p>
    <w:p w14:paraId="0E8F77E2" w14:textId="77777777" w:rsidR="00A27AC2" w:rsidRDefault="009C0578" w:rsidP="00F236C4">
      <w:pPr>
        <w:pStyle w:val="Heading2"/>
        <w:numPr>
          <w:ilvl w:val="1"/>
          <w:numId w:val="18"/>
        </w:numPr>
        <w:ind w:left="709"/>
      </w:pPr>
      <w:bookmarkStart w:id="62" w:name="_Toc168982254"/>
      <w:r>
        <w:t>Deceased individuals</w:t>
      </w:r>
      <w:bookmarkEnd w:id="62"/>
    </w:p>
    <w:p w14:paraId="30F6D293" w14:textId="77777777" w:rsidR="00A27AC2" w:rsidRDefault="009C0578" w:rsidP="00CC5AE7">
      <w:r>
        <w:t xml:space="preserve">The sharing may involve data of deceased persons which will not be covered by data protection legislation, but will still require due regard to the common law duty of confidentiality and the Human Rights Act. </w:t>
      </w:r>
    </w:p>
    <w:p w14:paraId="326DEA2F" w14:textId="77777777" w:rsidR="00D92196" w:rsidRDefault="00D92196" w:rsidP="00CC5AE7">
      <w:pPr>
        <w:rPr>
          <w:b/>
          <w:color w:val="1F497D"/>
          <w:sz w:val="40"/>
          <w:szCs w:val="40"/>
        </w:rPr>
      </w:pPr>
      <w:r>
        <w:br w:type="page"/>
      </w:r>
    </w:p>
    <w:p w14:paraId="07F91118" w14:textId="21587E31" w:rsidR="00A27AC2" w:rsidRDefault="18324EA3" w:rsidP="18324EA3">
      <w:pPr>
        <w:pStyle w:val="Heading1"/>
        <w:ind w:left="0" w:firstLine="0"/>
      </w:pPr>
      <w:bookmarkStart w:id="63" w:name="_Toc168982255"/>
      <w:r>
        <w:lastRenderedPageBreak/>
        <w:t xml:space="preserve">4. </w:t>
      </w:r>
      <w:r w:rsidR="009C0578">
        <w:t>Data</w:t>
      </w:r>
      <w:bookmarkEnd w:id="63"/>
    </w:p>
    <w:p w14:paraId="79118854" w14:textId="41231BF7" w:rsidR="00A27AC2" w:rsidRDefault="454DB566" w:rsidP="18324EA3">
      <w:pPr>
        <w:pStyle w:val="Heading2"/>
        <w:ind w:left="0" w:firstLine="0"/>
      </w:pPr>
      <w:bookmarkStart w:id="64" w:name="_Toc168982256"/>
      <w:r>
        <w:t xml:space="preserve">4.1 </w:t>
      </w:r>
      <w:r w:rsidR="009C0578">
        <w:t>Data categories</w:t>
      </w:r>
      <w:bookmarkEnd w:id="64"/>
    </w:p>
    <w:p w14:paraId="30A7EAB7" w14:textId="77777777" w:rsidR="00A27AC2" w:rsidRDefault="00A27AC2" w:rsidP="00CC5AE7">
      <w:pPr>
        <w:rPr>
          <w:b/>
        </w:rPr>
      </w:pPr>
    </w:p>
    <w:p w14:paraId="34E42D0C" w14:textId="77777777" w:rsidR="00A27AC2" w:rsidRDefault="009C0578" w:rsidP="00CC5AE7">
      <w:r>
        <w:t>(Tick pseudonymised or anonymised if any part of the data or outputs will be non-identifiable.)</w:t>
      </w:r>
    </w:p>
    <w:p w14:paraId="28173891" w14:textId="77777777" w:rsidR="00263841" w:rsidRDefault="00263841" w:rsidP="00CC5AE7">
      <w:pPr>
        <w:pStyle w:val="Heading3"/>
        <w:ind w:left="0"/>
      </w:pPr>
      <w:bookmarkStart w:id="65" w:name="_Toc168411303"/>
      <w:bookmarkStart w:id="66" w:name="_Toc168982257"/>
      <w:r w:rsidRPr="00263841">
        <w:rPr>
          <w:color w:val="auto"/>
          <w:sz w:val="22"/>
          <w:szCs w:val="22"/>
        </w:rPr>
        <w:t>Part 2 processing</w:t>
      </w:r>
      <w:bookmarkEnd w:id="65"/>
      <w:bookmarkEnd w:id="66"/>
    </w:p>
    <w:p w14:paraId="1DE1DFDB" w14:textId="77777777" w:rsidR="00263841" w:rsidRDefault="00263841" w:rsidP="00F236C4">
      <w:pPr>
        <w:pStyle w:val="ListParagraph"/>
        <w:widowControl w:val="0"/>
        <w:numPr>
          <w:ilvl w:val="0"/>
          <w:numId w:val="16"/>
        </w:numPr>
        <w:spacing w:before="0" w:after="0" w:line="240" w:lineRule="auto"/>
      </w:pPr>
      <w:r>
        <w:t>Personal data</w:t>
      </w:r>
    </w:p>
    <w:p w14:paraId="7D558B7A" w14:textId="77777777" w:rsidR="00263841" w:rsidRPr="002262EF" w:rsidRDefault="00263841" w:rsidP="00F236C4">
      <w:pPr>
        <w:pStyle w:val="ListParagraph"/>
        <w:widowControl w:val="0"/>
        <w:numPr>
          <w:ilvl w:val="0"/>
          <w:numId w:val="16"/>
        </w:numPr>
        <w:spacing w:before="0" w:after="0" w:line="240" w:lineRule="auto"/>
        <w:rPr>
          <w:highlight w:val="yellow"/>
        </w:rPr>
      </w:pPr>
      <w:r w:rsidRPr="002262EF">
        <w:rPr>
          <w:highlight w:val="yellow"/>
        </w:rPr>
        <w:t>Special category data</w:t>
      </w:r>
    </w:p>
    <w:p w14:paraId="2AD5F325" w14:textId="77777777" w:rsidR="00A27AC2" w:rsidRDefault="00A27AC2" w:rsidP="00CC5AE7"/>
    <w:p w14:paraId="3A113EBF" w14:textId="5FE21661" w:rsidR="004C7BEB" w:rsidRPr="004C7BEB" w:rsidRDefault="004C7BEB" w:rsidP="00CC5AE7">
      <w:pPr>
        <w:pStyle w:val="Heading3"/>
        <w:ind w:left="0"/>
        <w:rPr>
          <w:sz w:val="20"/>
          <w:szCs w:val="20"/>
        </w:rPr>
      </w:pPr>
      <w:bookmarkStart w:id="67" w:name="_Toc168411304"/>
      <w:bookmarkStart w:id="68" w:name="_Toc168982258"/>
      <w:r w:rsidRPr="004C7BEB">
        <w:rPr>
          <w:color w:val="auto"/>
          <w:sz w:val="22"/>
          <w:szCs w:val="22"/>
        </w:rPr>
        <w:t xml:space="preserve">Describe any anonymisation or pseudonymisation of data or outputs </w:t>
      </w:r>
      <w:r w:rsidRPr="004C7BEB">
        <w:rPr>
          <w:color w:val="auto"/>
          <w:sz w:val="22"/>
          <w:szCs w:val="22"/>
        </w:rPr>
        <w:br/>
      </w:r>
      <w:r w:rsidRPr="002002BC">
        <w:rPr>
          <w:color w:val="auto"/>
          <w:sz w:val="22"/>
          <w:szCs w:val="22"/>
        </w:rPr>
        <w:t>(for pseudonymised data include details of which organisation holds the key to re-identification)</w:t>
      </w:r>
      <w:r w:rsidR="002262EF">
        <w:rPr>
          <w:b w:val="0"/>
          <w:bCs/>
          <w:color w:val="auto"/>
          <w:sz w:val="20"/>
          <w:szCs w:val="20"/>
        </w:rPr>
        <w:t>:</w:t>
      </w:r>
      <w:bookmarkEnd w:id="67"/>
      <w:bookmarkEnd w:id="68"/>
    </w:p>
    <w:p w14:paraId="42A0F988" w14:textId="77777777" w:rsidR="004C7BEB" w:rsidRPr="004C7BEB" w:rsidRDefault="004C7BEB" w:rsidP="00CC5AE7">
      <w:pPr>
        <w:widowControl w:val="0"/>
        <w:pBdr>
          <w:top w:val="nil"/>
          <w:left w:val="nil"/>
          <w:bottom w:val="nil"/>
          <w:right w:val="nil"/>
          <w:between w:val="nil"/>
        </w:pBdr>
        <w:spacing w:before="0" w:after="0" w:line="240" w:lineRule="auto"/>
        <w:rPr>
          <w:sz w:val="20"/>
          <w:szCs w:val="20"/>
        </w:rPr>
      </w:pPr>
      <w:r w:rsidRPr="004C7BEB">
        <w:rPr>
          <w:sz w:val="20"/>
          <w:szCs w:val="20"/>
        </w:rPr>
        <w:t>Names will not be included.</w:t>
      </w:r>
    </w:p>
    <w:p w14:paraId="2B6893EB" w14:textId="77777777" w:rsidR="00A27AC2" w:rsidRDefault="00A27AC2" w:rsidP="00CC5AE7">
      <w:pPr>
        <w:pBdr>
          <w:top w:val="nil"/>
          <w:left w:val="nil"/>
          <w:bottom w:val="nil"/>
          <w:right w:val="nil"/>
          <w:between w:val="nil"/>
        </w:pBdr>
        <w:rPr>
          <w:rFonts w:ascii="Quattrocento Sans" w:eastAsia="Quattrocento Sans" w:hAnsi="Quattrocento Sans" w:cs="Quattrocento Sans"/>
          <w:color w:val="000000"/>
        </w:rPr>
      </w:pPr>
    </w:p>
    <w:p w14:paraId="65FF74D6" w14:textId="31BB0DA1" w:rsidR="00A27AC2" w:rsidRDefault="0783B505" w:rsidP="18324EA3">
      <w:pPr>
        <w:pStyle w:val="Heading2"/>
        <w:ind w:left="0" w:firstLine="0"/>
      </w:pPr>
      <w:bookmarkStart w:id="69" w:name="_Toc168982259"/>
      <w:r>
        <w:t xml:space="preserve">4.2 </w:t>
      </w:r>
      <w:r w:rsidR="009C0578">
        <w:t>The data to be shared</w:t>
      </w:r>
      <w:bookmarkEnd w:id="69"/>
    </w:p>
    <w:p w14:paraId="63133031" w14:textId="3782C4B7" w:rsidR="00A27AC2" w:rsidRPr="00640CDA" w:rsidRDefault="000E2A48" w:rsidP="00CC5AE7">
      <w:pPr>
        <w:pStyle w:val="Heading3"/>
        <w:ind w:left="0"/>
        <w:rPr>
          <w:color w:val="auto"/>
          <w:sz w:val="22"/>
          <w:szCs w:val="22"/>
        </w:rPr>
      </w:pPr>
      <w:bookmarkStart w:id="70" w:name="_Toc168982260"/>
      <w:r>
        <w:rPr>
          <w:color w:val="auto"/>
          <w:sz w:val="22"/>
          <w:szCs w:val="22"/>
        </w:rPr>
        <w:t xml:space="preserve">4.2.1 </w:t>
      </w:r>
      <w:r w:rsidR="009C0578" w:rsidRPr="00640CDA">
        <w:rPr>
          <w:color w:val="auto"/>
          <w:sz w:val="22"/>
          <w:szCs w:val="22"/>
        </w:rPr>
        <w:t>Personal data</w:t>
      </w:r>
      <w:bookmarkEnd w:id="70"/>
    </w:p>
    <w:p w14:paraId="4F112D22" w14:textId="77777777" w:rsidR="006A2DCC" w:rsidRDefault="006A2DCC" w:rsidP="00CC5AE7">
      <w:pPr>
        <w:widowControl w:val="0"/>
        <w:spacing w:before="0" w:after="0" w:line="240" w:lineRule="auto"/>
      </w:pPr>
    </w:p>
    <w:p w14:paraId="72680F61" w14:textId="04905BE7" w:rsidR="006A2DCC" w:rsidRDefault="006A2DCC" w:rsidP="00F236C4">
      <w:pPr>
        <w:pStyle w:val="ListParagraph"/>
        <w:numPr>
          <w:ilvl w:val="0"/>
          <w:numId w:val="11"/>
        </w:numPr>
        <w:spacing w:before="0" w:after="0" w:line="240" w:lineRule="auto"/>
      </w:pPr>
      <w:bookmarkStart w:id="71" w:name="_nr4bakroa5i8" w:colFirst="0" w:colLast="0"/>
      <w:bookmarkEnd w:id="71"/>
      <w:r>
        <w:t>Contact details - phone number</w:t>
      </w:r>
    </w:p>
    <w:p w14:paraId="1D230223" w14:textId="77777777" w:rsidR="006A2DCC" w:rsidRDefault="006A2DCC" w:rsidP="00F236C4">
      <w:pPr>
        <w:pStyle w:val="ListParagraph"/>
        <w:numPr>
          <w:ilvl w:val="0"/>
          <w:numId w:val="11"/>
        </w:numPr>
        <w:spacing w:before="0" w:after="0" w:line="240" w:lineRule="auto"/>
      </w:pPr>
      <w:r>
        <w:t>Social care information – the individual is a client of the social care team and, which telecare device they use.</w:t>
      </w:r>
    </w:p>
    <w:p w14:paraId="54E57E28" w14:textId="77777777" w:rsidR="006A2DCC" w:rsidRDefault="006A2DCC" w:rsidP="00F236C4">
      <w:pPr>
        <w:pStyle w:val="ListParagraph"/>
        <w:numPr>
          <w:ilvl w:val="0"/>
          <w:numId w:val="11"/>
        </w:numPr>
        <w:spacing w:before="0" w:after="0" w:line="240" w:lineRule="auto"/>
      </w:pPr>
      <w:r>
        <w:t xml:space="preserve">Family / relationship information </w:t>
      </w:r>
      <w:proofErr w:type="spellStart"/>
      <w:r>
        <w:t>incl</w:t>
      </w:r>
      <w:proofErr w:type="spellEnd"/>
      <w:r>
        <w:t xml:space="preserve"> next of kin</w:t>
      </w:r>
    </w:p>
    <w:p w14:paraId="0325AB1D" w14:textId="77777777" w:rsidR="006A2DCC" w:rsidRDefault="006A2DCC" w:rsidP="00CC5AE7">
      <w:pPr>
        <w:widowControl w:val="0"/>
        <w:spacing w:before="0" w:after="0" w:line="240" w:lineRule="auto"/>
        <w:ind w:left="65"/>
      </w:pPr>
    </w:p>
    <w:p w14:paraId="57221E32" w14:textId="77777777" w:rsidR="006A2DCC" w:rsidRDefault="006A2DCC" w:rsidP="00CC5AE7">
      <w:pPr>
        <w:spacing w:before="0" w:after="0" w:line="240" w:lineRule="auto"/>
      </w:pPr>
    </w:p>
    <w:p w14:paraId="15C4231D" w14:textId="77777777" w:rsidR="006A2DCC" w:rsidRPr="00860377" w:rsidRDefault="006A2DCC" w:rsidP="00CC5AE7">
      <w:pPr>
        <w:pStyle w:val="Heading3"/>
        <w:ind w:left="0"/>
        <w:rPr>
          <w:color w:val="auto"/>
          <w:sz w:val="2"/>
          <w:szCs w:val="2"/>
        </w:rPr>
      </w:pPr>
      <w:bookmarkStart w:id="72" w:name="_Toc168411307"/>
      <w:bookmarkStart w:id="73" w:name="_Toc168982261"/>
      <w:r w:rsidRPr="00860377">
        <w:rPr>
          <w:color w:val="auto"/>
          <w:sz w:val="22"/>
          <w:szCs w:val="22"/>
        </w:rPr>
        <w:t xml:space="preserve">Describe the data </w:t>
      </w:r>
      <w:r w:rsidRPr="00860377">
        <w:rPr>
          <w:b w:val="0"/>
          <w:bCs/>
          <w:color w:val="auto"/>
          <w:sz w:val="22"/>
          <w:szCs w:val="22"/>
        </w:rPr>
        <w:t>- are there datasets or named reports? Is there any data specifically excluded?</w:t>
      </w:r>
      <w:bookmarkEnd w:id="72"/>
      <w:bookmarkEnd w:id="73"/>
    </w:p>
    <w:p w14:paraId="7C751DE2" w14:textId="77777777" w:rsidR="006A2DCC" w:rsidRDefault="006A2DCC" w:rsidP="00CC5AE7">
      <w:pPr>
        <w:spacing w:before="280" w:after="120" w:line="276" w:lineRule="auto"/>
        <w:jc w:val="both"/>
      </w:pPr>
      <w:r>
        <w:t xml:space="preserve">The local authority will send a file containing the landline telephone numbers </w:t>
      </w:r>
      <w:r w:rsidRPr="00F63629">
        <w:rPr>
          <w:highlight w:val="yellow"/>
        </w:rPr>
        <w:t>and the Telecare alarm type (i.e. analogue, IP, GSM or Hybrid)</w:t>
      </w:r>
      <w:r>
        <w:t xml:space="preserve"> of the ASC client upon which a Telecare alarm device is deemed to be operating.  </w:t>
      </w:r>
    </w:p>
    <w:p w14:paraId="34086DF9" w14:textId="77777777" w:rsidR="006A2DCC" w:rsidRDefault="006A2DCC" w:rsidP="00CC5AE7">
      <w:pPr>
        <w:spacing w:before="280" w:after="120" w:line="276" w:lineRule="auto"/>
        <w:jc w:val="both"/>
      </w:pPr>
      <w:r w:rsidRPr="009F26F6">
        <w:rPr>
          <w:highlight w:val="yellow"/>
        </w:rPr>
        <w:t>The file should only contain a single column of landline telephone numbers, all with a leading zero, no spaces or any other formatting</w:t>
      </w:r>
      <w:r w:rsidRPr="00AF05AA">
        <w:rPr>
          <w:highlight w:val="yellow"/>
        </w:rPr>
        <w:t>. The LA should distinguish whether phone numbers are residential, or business lines for sheltered housing schemes and similar.</w:t>
      </w:r>
    </w:p>
    <w:p w14:paraId="426FC17F" w14:textId="77777777" w:rsidR="006A2DCC" w:rsidRDefault="006A2DCC" w:rsidP="00CC5AE7">
      <w:pPr>
        <w:spacing w:before="280" w:after="120" w:line="276" w:lineRule="auto"/>
        <w:jc w:val="both"/>
      </w:pPr>
      <w:r>
        <w:t>The communications provider will match the number against its customer records and add this to the client file. The provider will share any matched numbers with the local authority, so the authority knows which CP supplies that client.</w:t>
      </w:r>
    </w:p>
    <w:p w14:paraId="545F0F62" w14:textId="77777777" w:rsidR="006A2DCC" w:rsidRPr="00860377" w:rsidRDefault="006A2DCC" w:rsidP="00CC5AE7">
      <w:pPr>
        <w:pStyle w:val="Heading3"/>
        <w:ind w:left="0"/>
        <w:rPr>
          <w:color w:val="auto"/>
          <w:sz w:val="22"/>
          <w:szCs w:val="22"/>
        </w:rPr>
      </w:pPr>
      <w:bookmarkStart w:id="74" w:name="_Toc168411308"/>
      <w:bookmarkStart w:id="75" w:name="_Toc168982262"/>
      <w:r w:rsidRPr="00860377">
        <w:rPr>
          <w:color w:val="auto"/>
          <w:sz w:val="22"/>
          <w:szCs w:val="22"/>
        </w:rPr>
        <w:t>Frequency</w:t>
      </w:r>
      <w:bookmarkEnd w:id="74"/>
      <w:bookmarkEnd w:id="75"/>
    </w:p>
    <w:p w14:paraId="5DDE122B" w14:textId="77777777" w:rsidR="006A2DCC" w:rsidRDefault="006A2DCC" w:rsidP="00CC5AE7">
      <w:pPr>
        <w:spacing w:before="280" w:after="120" w:line="276" w:lineRule="auto"/>
        <w:jc w:val="both"/>
        <w:rPr>
          <w:highlight w:val="yellow"/>
        </w:rPr>
      </w:pPr>
      <w:r w:rsidRPr="00910834">
        <w:rPr>
          <w:highlight w:val="yellow"/>
        </w:rPr>
        <w:t>[Frequency to be stated]</w:t>
      </w:r>
      <w:r w:rsidRPr="00EC3CDE">
        <w:t xml:space="preserve"> </w:t>
      </w:r>
      <w:r>
        <w:rPr>
          <w:highlight w:val="yellow"/>
        </w:rPr>
        <w:t xml:space="preserve">The frequency may differ by provider and by authority. The local authority to state the frequency expected between the named parties to this </w:t>
      </w:r>
      <w:commentRangeStart w:id="76"/>
      <w:r>
        <w:rPr>
          <w:highlight w:val="yellow"/>
        </w:rPr>
        <w:t>agreement</w:t>
      </w:r>
      <w:commentRangeEnd w:id="76"/>
      <w:r>
        <w:rPr>
          <w:rStyle w:val="CommentReference"/>
        </w:rPr>
        <w:commentReference w:id="76"/>
      </w:r>
      <w:r>
        <w:rPr>
          <w:highlight w:val="yellow"/>
        </w:rPr>
        <w:t>.</w:t>
      </w:r>
    </w:p>
    <w:p w14:paraId="4B155C6E" w14:textId="77777777" w:rsidR="00A27AC2" w:rsidRDefault="00A27AC2" w:rsidP="00CC5AE7">
      <w:pPr>
        <w:spacing w:before="0" w:line="276" w:lineRule="auto"/>
      </w:pPr>
    </w:p>
    <w:p w14:paraId="0D87BA9C" w14:textId="0AE7BD25" w:rsidR="00A27AC2" w:rsidRDefault="28CE0F37" w:rsidP="18324EA3">
      <w:pPr>
        <w:pStyle w:val="Heading2"/>
        <w:ind w:left="0" w:firstLine="0"/>
      </w:pPr>
      <w:bookmarkStart w:id="77" w:name="_Toc168982263"/>
      <w:r>
        <w:t xml:space="preserve">4.3 </w:t>
      </w:r>
      <w:r w:rsidR="009C0578">
        <w:t>Storing and handling information securely</w:t>
      </w:r>
      <w:bookmarkEnd w:id="77"/>
    </w:p>
    <w:p w14:paraId="2B0EB390" w14:textId="77777777" w:rsidR="00A27AC2" w:rsidRDefault="00A27AC2" w:rsidP="00CC5AE7"/>
    <w:p w14:paraId="6E0B5A53" w14:textId="77777777" w:rsidR="00A27AC2" w:rsidRDefault="009C0578" w:rsidP="00CC5AE7">
      <w:pPr>
        <w:spacing w:before="0" w:line="276" w:lineRule="auto"/>
      </w:pPr>
      <w:r>
        <w:t xml:space="preserve">All parties will ensure that they have appropriate technical and organisational security measures in place to guard against unauthorised or unlawful processing of personal data and </w:t>
      </w:r>
      <w:r>
        <w:lastRenderedPageBreak/>
        <w:t xml:space="preserve">against accidental loss or destruction of, or damage to, personal data. All parties will store and share data securely. </w:t>
      </w:r>
    </w:p>
    <w:p w14:paraId="44951923" w14:textId="77777777" w:rsidR="00A27AC2" w:rsidRDefault="009C0578" w:rsidP="00CC5AE7">
      <w:pPr>
        <w:spacing w:before="0" w:line="276" w:lineRule="auto"/>
      </w:pPr>
      <w:r>
        <w:t xml:space="preserve">Further information on general security standards are in </w:t>
      </w:r>
      <w:r>
        <w:rPr>
          <w:b/>
        </w:rPr>
        <w:t>Appendix D</w:t>
      </w:r>
      <w:r>
        <w:t>.</w:t>
      </w:r>
    </w:p>
    <w:p w14:paraId="26F23EA4" w14:textId="77777777" w:rsidR="00A27AC2" w:rsidRDefault="009C0578" w:rsidP="00CC5AE7">
      <w:pPr>
        <w:spacing w:before="0" w:line="276" w:lineRule="auto"/>
      </w:pPr>
      <w:r>
        <w:t>Using the DPIA, describe as relevant, the following:</w:t>
      </w:r>
    </w:p>
    <w:p w14:paraId="3659D4C6" w14:textId="77777777" w:rsidR="00A27AC2" w:rsidRDefault="009C0578" w:rsidP="00F236C4">
      <w:pPr>
        <w:numPr>
          <w:ilvl w:val="0"/>
          <w:numId w:val="9"/>
        </w:numPr>
        <w:spacing w:before="0" w:after="0" w:line="276" w:lineRule="auto"/>
      </w:pPr>
      <w:r>
        <w:t>Data format</w:t>
      </w:r>
    </w:p>
    <w:p w14:paraId="2F447670" w14:textId="77777777" w:rsidR="00A27AC2" w:rsidRDefault="009C0578" w:rsidP="00F236C4">
      <w:pPr>
        <w:numPr>
          <w:ilvl w:val="0"/>
          <w:numId w:val="9"/>
        </w:numPr>
        <w:spacing w:before="0" w:after="0" w:line="276" w:lineRule="auto"/>
      </w:pPr>
      <w:r>
        <w:t>Location</w:t>
      </w:r>
    </w:p>
    <w:p w14:paraId="70807D9A" w14:textId="77777777" w:rsidR="00A27AC2" w:rsidRDefault="009C0578" w:rsidP="00F236C4">
      <w:pPr>
        <w:numPr>
          <w:ilvl w:val="0"/>
          <w:numId w:val="9"/>
        </w:numPr>
        <w:spacing w:before="0" w:after="0" w:line="276" w:lineRule="auto"/>
      </w:pPr>
      <w:r>
        <w:t>Data flows (attach images if available)</w:t>
      </w:r>
    </w:p>
    <w:p w14:paraId="0C5F71C3" w14:textId="77777777" w:rsidR="00A27AC2" w:rsidRDefault="009C0578" w:rsidP="00F236C4">
      <w:pPr>
        <w:numPr>
          <w:ilvl w:val="0"/>
          <w:numId w:val="9"/>
        </w:numPr>
        <w:spacing w:before="0" w:line="276" w:lineRule="auto"/>
      </w:pPr>
      <w:r>
        <w:t>Roles and access and access controls</w:t>
      </w:r>
    </w:p>
    <w:p w14:paraId="449C0036" w14:textId="77777777" w:rsidR="00A27AC2" w:rsidRDefault="00A27AC2" w:rsidP="00CC5AE7"/>
    <w:p w14:paraId="2BF6084C" w14:textId="77777777" w:rsidR="00AA010C" w:rsidRPr="00AA010C" w:rsidRDefault="00AA010C" w:rsidP="00CC5AE7">
      <w:pPr>
        <w:pStyle w:val="Heading3"/>
        <w:ind w:left="0"/>
        <w:rPr>
          <w:color w:val="auto"/>
          <w:sz w:val="2"/>
          <w:szCs w:val="2"/>
        </w:rPr>
      </w:pPr>
      <w:bookmarkStart w:id="78" w:name="_Toc168411310"/>
      <w:bookmarkStart w:id="79" w:name="_Toc168982264"/>
      <w:r w:rsidRPr="00AA010C">
        <w:rPr>
          <w:color w:val="auto"/>
          <w:sz w:val="22"/>
          <w:szCs w:val="22"/>
        </w:rPr>
        <w:t>Describe</w:t>
      </w:r>
      <w:bookmarkEnd w:id="78"/>
      <w:bookmarkEnd w:id="79"/>
    </w:p>
    <w:p w14:paraId="18A91E8F" w14:textId="77777777" w:rsidR="00AA010C" w:rsidRDefault="00AA010C" w:rsidP="00CC5AE7">
      <w:pPr>
        <w:widowControl w:val="0"/>
        <w:spacing w:before="0" w:after="0" w:line="240" w:lineRule="auto"/>
      </w:pPr>
    </w:p>
    <w:p w14:paraId="2B060A59" w14:textId="77777777" w:rsidR="00AA010C" w:rsidRDefault="00AA010C" w:rsidP="00CC5AE7">
      <w:pPr>
        <w:widowControl w:val="0"/>
        <w:spacing w:before="0" w:after="0" w:line="240" w:lineRule="auto"/>
      </w:pPr>
      <w:r>
        <w:t>The parties agree that they have suitable technical and operational security measures. The data is held in systems controlled by the relevant party.</w:t>
      </w:r>
    </w:p>
    <w:p w14:paraId="21C7CD3A" w14:textId="77777777" w:rsidR="00AA010C" w:rsidRDefault="00AA010C" w:rsidP="00CC5AE7">
      <w:pPr>
        <w:widowControl w:val="0"/>
        <w:spacing w:before="0" w:after="0" w:line="240" w:lineRule="auto"/>
      </w:pPr>
    </w:p>
    <w:p w14:paraId="0918FC32" w14:textId="7A6B3091" w:rsidR="00AA010C" w:rsidRDefault="00AA010C" w:rsidP="00CC5AE7">
      <w:pPr>
        <w:widowControl w:val="0"/>
        <w:spacing w:before="0" w:after="0" w:line="240" w:lineRule="auto"/>
      </w:pPr>
      <w:r w:rsidRPr="00EC3CDE">
        <w:rPr>
          <w:highlight w:val="yellow"/>
        </w:rPr>
        <w:t>Data will be shared by secure email.</w:t>
      </w:r>
      <w:r w:rsidR="00E5063B">
        <w:br/>
      </w:r>
    </w:p>
    <w:p w14:paraId="49335AED" w14:textId="0000C5C5" w:rsidR="00A27AC2" w:rsidRDefault="0E235E2F" w:rsidP="18324EA3">
      <w:pPr>
        <w:pStyle w:val="Heading2"/>
        <w:ind w:left="0" w:firstLine="0"/>
      </w:pPr>
      <w:bookmarkStart w:id="80" w:name="_el7325bns4cz"/>
      <w:bookmarkStart w:id="81" w:name="_Toc168982265"/>
      <w:bookmarkEnd w:id="80"/>
      <w:r>
        <w:t xml:space="preserve">4.4 </w:t>
      </w:r>
      <w:r w:rsidR="009C0578">
        <w:t>Outside UK processing</w:t>
      </w:r>
      <w:bookmarkEnd w:id="81"/>
      <w:r w:rsidR="009C0578">
        <w:t xml:space="preserve"> </w:t>
      </w:r>
    </w:p>
    <w:p w14:paraId="52340812" w14:textId="77777777" w:rsidR="00A27AC2" w:rsidRDefault="009C0578" w:rsidP="00CC5AE7">
      <w:pPr>
        <w:pBdr>
          <w:top w:val="nil"/>
          <w:left w:val="nil"/>
          <w:bottom w:val="nil"/>
          <w:right w:val="nil"/>
          <w:between w:val="nil"/>
        </w:pBdr>
      </w:pPr>
      <w:r>
        <w:rPr>
          <w:color w:val="000000"/>
        </w:rPr>
        <w:t xml:space="preserve">Parties are responsible for ensuring that if information is processed or shared outside the UK, that </w:t>
      </w:r>
      <w:r>
        <w:t>appropriate safeguards are in place and on condition that enforceable data subject rights and effective legal remedies for data subjects are available. For example, a legally binding and enforceable instrument between public authorities or bodies, binding corporate rules, and/or standard data protection contractual clauses.</w:t>
      </w:r>
    </w:p>
    <w:p w14:paraId="31266971" w14:textId="77777777" w:rsidR="00A27AC2" w:rsidRPr="006A7B79" w:rsidRDefault="009C0578" w:rsidP="00CC5AE7">
      <w:pPr>
        <w:pStyle w:val="Heading3"/>
        <w:ind w:left="0"/>
        <w:rPr>
          <w:color w:val="auto"/>
          <w:sz w:val="22"/>
          <w:szCs w:val="22"/>
        </w:rPr>
      </w:pPr>
      <w:bookmarkStart w:id="82" w:name="_Toc168411312"/>
      <w:bookmarkStart w:id="83" w:name="_Toc168982266"/>
      <w:r w:rsidRPr="006A7B79">
        <w:rPr>
          <w:color w:val="auto"/>
          <w:sz w:val="22"/>
          <w:szCs w:val="22"/>
        </w:rPr>
        <w:t>Describe any outside UK processing</w:t>
      </w:r>
      <w:bookmarkEnd w:id="82"/>
      <w:bookmarkEnd w:id="83"/>
    </w:p>
    <w:p w14:paraId="29A7D1CB" w14:textId="77777777" w:rsidR="00A27AC2" w:rsidRDefault="00A27AC2" w:rsidP="00CC5AE7">
      <w:pPr>
        <w:spacing w:before="0" w:after="0" w:line="240" w:lineRule="auto"/>
        <w:rPr>
          <w:b/>
        </w:rPr>
      </w:pPr>
    </w:p>
    <w:tbl>
      <w:tblPr>
        <w:tblW w:w="10121"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90"/>
        <w:gridCol w:w="6431"/>
      </w:tblGrid>
      <w:tr w:rsidR="00A27AC2" w14:paraId="46718504" w14:textId="77777777" w:rsidTr="00C94781">
        <w:trPr>
          <w:trHeight w:val="440"/>
        </w:trPr>
        <w:tc>
          <w:tcPr>
            <w:tcW w:w="3690" w:type="dxa"/>
            <w:shd w:val="clear" w:color="auto" w:fill="D9D9D9"/>
            <w:vAlign w:val="center"/>
          </w:tcPr>
          <w:p w14:paraId="26282600" w14:textId="77777777" w:rsidR="00A27AC2" w:rsidRDefault="009C0578" w:rsidP="00CC5AE7">
            <w:pPr>
              <w:spacing w:before="0" w:after="0" w:line="240" w:lineRule="auto"/>
            </w:pPr>
            <w:r>
              <w:rPr>
                <w:b/>
              </w:rPr>
              <w:t>Applicable party</w:t>
            </w:r>
          </w:p>
        </w:tc>
        <w:tc>
          <w:tcPr>
            <w:tcW w:w="6431" w:type="dxa"/>
            <w:shd w:val="clear" w:color="auto" w:fill="D9D9D9"/>
            <w:vAlign w:val="center"/>
          </w:tcPr>
          <w:p w14:paraId="6D468BE3" w14:textId="77777777" w:rsidR="00A27AC2" w:rsidRDefault="009C0578" w:rsidP="00CC5AE7">
            <w:pPr>
              <w:spacing w:before="0" w:after="0" w:line="240" w:lineRule="auto"/>
              <w:ind w:left="60"/>
              <w:rPr>
                <w:b/>
              </w:rPr>
            </w:pPr>
            <w:r>
              <w:rPr>
                <w:b/>
              </w:rPr>
              <w:t>Describe</w:t>
            </w:r>
          </w:p>
        </w:tc>
      </w:tr>
      <w:tr w:rsidR="00A27AC2" w14:paraId="18D7737C" w14:textId="77777777" w:rsidTr="00DD2483">
        <w:tc>
          <w:tcPr>
            <w:tcW w:w="3690" w:type="dxa"/>
            <w:vAlign w:val="center"/>
          </w:tcPr>
          <w:p w14:paraId="0C08C68B" w14:textId="77777777" w:rsidR="00A27AC2" w:rsidRDefault="009C0578" w:rsidP="00CC5AE7">
            <w:pPr>
              <w:spacing w:before="120" w:after="120" w:line="240" w:lineRule="auto"/>
            </w:pPr>
            <w:r>
              <w:t>None</w:t>
            </w:r>
          </w:p>
        </w:tc>
        <w:tc>
          <w:tcPr>
            <w:tcW w:w="6431" w:type="dxa"/>
            <w:shd w:val="clear" w:color="auto" w:fill="auto"/>
            <w:tcMar>
              <w:top w:w="100" w:type="dxa"/>
              <w:left w:w="100" w:type="dxa"/>
              <w:bottom w:w="100" w:type="dxa"/>
              <w:right w:w="100" w:type="dxa"/>
            </w:tcMar>
            <w:vAlign w:val="center"/>
          </w:tcPr>
          <w:p w14:paraId="47B57F0A" w14:textId="77777777" w:rsidR="00A27AC2" w:rsidRDefault="009C0578" w:rsidP="00CC5AE7">
            <w:pPr>
              <w:widowControl w:val="0"/>
              <w:spacing w:before="0" w:after="0" w:line="240" w:lineRule="auto"/>
              <w:ind w:left="425" w:hanging="360"/>
            </w:pPr>
            <w:r>
              <w:t>N/A</w:t>
            </w:r>
          </w:p>
        </w:tc>
      </w:tr>
    </w:tbl>
    <w:p w14:paraId="1C760F27" w14:textId="77777777" w:rsidR="00A27AC2" w:rsidRDefault="00A27AC2" w:rsidP="00CC5AE7">
      <w:pPr>
        <w:spacing w:before="0" w:after="0" w:line="240" w:lineRule="auto"/>
      </w:pPr>
    </w:p>
    <w:p w14:paraId="782FF9FF" w14:textId="1EA4AED7" w:rsidR="00A27AC2" w:rsidRDefault="18324EA3" w:rsidP="18324EA3">
      <w:pPr>
        <w:pStyle w:val="Heading2"/>
        <w:ind w:left="0" w:firstLine="0"/>
      </w:pPr>
      <w:bookmarkStart w:id="84" w:name="_Toc168982267"/>
      <w:r>
        <w:t>4.</w:t>
      </w:r>
      <w:r w:rsidR="234B8BB5">
        <w:t>5</w:t>
      </w:r>
      <w:r>
        <w:t xml:space="preserve"> </w:t>
      </w:r>
      <w:r w:rsidR="009C0578">
        <w:t>Data quality</w:t>
      </w:r>
      <w:bookmarkEnd w:id="84"/>
    </w:p>
    <w:p w14:paraId="639699A1" w14:textId="77777777" w:rsidR="00A27AC2" w:rsidRDefault="009C0578" w:rsidP="00CC5AE7">
      <w:pPr>
        <w:pBdr>
          <w:top w:val="nil"/>
          <w:left w:val="nil"/>
          <w:bottom w:val="nil"/>
          <w:right w:val="nil"/>
          <w:between w:val="nil"/>
        </w:pBdr>
        <w:rPr>
          <w:color w:val="000000"/>
        </w:rPr>
      </w:pPr>
      <w:r>
        <w:rPr>
          <w:color w:val="000000"/>
        </w:rPr>
        <w:t xml:space="preserve">Each partner is responsible for ensuring the accuracy and relevance of the personal data that it processes and shares and must have clear processes in place for managing data quality. </w:t>
      </w:r>
    </w:p>
    <w:p w14:paraId="2390A835" w14:textId="77777777" w:rsidR="00A27AC2" w:rsidRDefault="009C0578" w:rsidP="00CC5AE7">
      <w:pPr>
        <w:pBdr>
          <w:top w:val="nil"/>
          <w:left w:val="nil"/>
          <w:bottom w:val="nil"/>
          <w:right w:val="nil"/>
          <w:between w:val="nil"/>
        </w:pBdr>
      </w:pPr>
      <w:r>
        <w:rPr>
          <w:color w:val="000000"/>
        </w:rPr>
        <w:t>Any party learning of the inaccuracy of personal data is responsible for promptly informing the parties with whom that data has been shared.</w:t>
      </w:r>
    </w:p>
    <w:p w14:paraId="7F91B03F" w14:textId="77777777" w:rsidR="00A27AC2" w:rsidRDefault="00A27AC2" w:rsidP="00CC5AE7">
      <w:pPr>
        <w:pBdr>
          <w:top w:val="nil"/>
          <w:left w:val="nil"/>
          <w:bottom w:val="nil"/>
          <w:right w:val="nil"/>
          <w:between w:val="nil"/>
        </w:pBdr>
      </w:pPr>
    </w:p>
    <w:p w14:paraId="4D045D33" w14:textId="77777777" w:rsidR="00045DE8" w:rsidRPr="00045DE8" w:rsidRDefault="00045DE8" w:rsidP="00CC5AE7">
      <w:pPr>
        <w:pStyle w:val="Heading3"/>
        <w:ind w:left="0"/>
        <w:rPr>
          <w:b w:val="0"/>
          <w:bCs/>
          <w:color w:val="auto"/>
          <w:sz w:val="22"/>
          <w:szCs w:val="22"/>
        </w:rPr>
      </w:pPr>
      <w:bookmarkStart w:id="85" w:name="_Toc168411314"/>
      <w:bookmarkStart w:id="86" w:name="_Toc168982268"/>
      <w:r w:rsidRPr="00045DE8">
        <w:rPr>
          <w:color w:val="auto"/>
          <w:sz w:val="22"/>
          <w:szCs w:val="22"/>
        </w:rPr>
        <w:t xml:space="preserve">Describe how data quality and accuracy will be checked and assured </w:t>
      </w:r>
      <w:r w:rsidRPr="00045DE8">
        <w:rPr>
          <w:b w:val="0"/>
          <w:bCs/>
          <w:color w:val="auto"/>
          <w:sz w:val="22"/>
          <w:szCs w:val="22"/>
        </w:rPr>
        <w:t>- will you use standardised formats, how will you check the accuracy of data matching, which party is responsible?</w:t>
      </w:r>
      <w:bookmarkEnd w:id="85"/>
      <w:bookmarkEnd w:id="86"/>
    </w:p>
    <w:p w14:paraId="3B78499D" w14:textId="77777777" w:rsidR="00045DE8" w:rsidRPr="00045DE8" w:rsidRDefault="00045DE8" w:rsidP="00F236C4">
      <w:pPr>
        <w:pStyle w:val="ListParagraph"/>
        <w:numPr>
          <w:ilvl w:val="0"/>
          <w:numId w:val="12"/>
        </w:numPr>
        <w:spacing w:before="240" w:after="240" w:line="240" w:lineRule="auto"/>
        <w:rPr>
          <w:bCs/>
        </w:rPr>
      </w:pPr>
      <w:r w:rsidRPr="00045DE8">
        <w:rPr>
          <w:bCs/>
        </w:rPr>
        <w:t>Councils will provide current information they hold on social care clients who have telecare devices, at a frequency that is most appropriate for that authority, as agreed with the CP.</w:t>
      </w:r>
    </w:p>
    <w:p w14:paraId="10ACEEF2" w14:textId="77777777" w:rsidR="00045DE8" w:rsidRPr="00045DE8" w:rsidRDefault="00045DE8" w:rsidP="00F236C4">
      <w:pPr>
        <w:pStyle w:val="ListParagraph"/>
        <w:numPr>
          <w:ilvl w:val="0"/>
          <w:numId w:val="12"/>
        </w:numPr>
        <w:spacing w:before="240" w:after="240" w:line="240" w:lineRule="auto"/>
        <w:rPr>
          <w:bCs/>
        </w:rPr>
      </w:pPr>
      <w:r w:rsidRPr="00045DE8">
        <w:rPr>
          <w:bCs/>
        </w:rPr>
        <w:t>CPs will provide back confirmation matches based on their current customer base.</w:t>
      </w:r>
    </w:p>
    <w:p w14:paraId="55576466" w14:textId="77777777" w:rsidR="00045DE8" w:rsidRPr="00045DE8" w:rsidRDefault="00045DE8" w:rsidP="00F236C4">
      <w:pPr>
        <w:pStyle w:val="ListParagraph"/>
        <w:numPr>
          <w:ilvl w:val="0"/>
          <w:numId w:val="12"/>
        </w:numPr>
        <w:spacing w:before="240" w:after="240" w:line="240" w:lineRule="auto"/>
        <w:rPr>
          <w:b/>
        </w:rPr>
      </w:pPr>
      <w:r w:rsidRPr="00045DE8">
        <w:rPr>
          <w:bCs/>
        </w:rPr>
        <w:t>Both sides acknowledge that the status of a client or customer may change for example, if a client dies or a customer changes provider.</w:t>
      </w:r>
    </w:p>
    <w:p w14:paraId="223ECAEF" w14:textId="77777777" w:rsidR="00A27AC2" w:rsidRDefault="00A27AC2" w:rsidP="00CC5AE7">
      <w:pPr>
        <w:pBdr>
          <w:top w:val="nil"/>
          <w:left w:val="nil"/>
          <w:bottom w:val="nil"/>
          <w:right w:val="nil"/>
          <w:between w:val="nil"/>
        </w:pBdr>
        <w:rPr>
          <w:color w:val="000000"/>
        </w:rPr>
      </w:pPr>
    </w:p>
    <w:p w14:paraId="5DFBF522" w14:textId="7275A203" w:rsidR="00A27AC2" w:rsidRDefault="00048C87" w:rsidP="18324EA3">
      <w:pPr>
        <w:pStyle w:val="Heading2"/>
        <w:ind w:left="0" w:firstLine="0"/>
      </w:pPr>
      <w:bookmarkStart w:id="87" w:name="_Toc168982269"/>
      <w:r>
        <w:lastRenderedPageBreak/>
        <w:t xml:space="preserve">4.6 </w:t>
      </w:r>
      <w:r w:rsidR="009C0578">
        <w:t>Data breaches/incidents</w:t>
      </w:r>
      <w:bookmarkEnd w:id="87"/>
    </w:p>
    <w:p w14:paraId="25F8100A" w14:textId="77777777" w:rsidR="00A27AC2" w:rsidRDefault="009C0578" w:rsidP="00CC5AE7">
      <w:r>
        <w:t>All parties must have a clear policy and procedure regarding the reporting and handling of data protection breaches or data loss incidents. This includes assessing the level of risk to the data subject(s) and deciding whether the ICO must be notified within the statutory time frame of 72 hours. This complies with Articles 33 and 34 of UK GDPR, and Section 67 and 68 of the DPA 2018 for personal data processed for law enforcement purposes.</w:t>
      </w:r>
    </w:p>
    <w:p w14:paraId="388C1EAF" w14:textId="77777777" w:rsidR="00A27AC2" w:rsidRDefault="009C0578" w:rsidP="00CC5AE7">
      <w:r>
        <w:t>If the incident may impact the processing of another party to this DSA, all relevant parties should be informed and appropriate coordination of the incident must take place. The decision to report the incident will lie with the data controller(s) of the information. The parties agree to provide all reasonable assistance to each other, at their own expense, to facilitate the handling of any personal data incident.</w:t>
      </w:r>
    </w:p>
    <w:p w14:paraId="7281EB40" w14:textId="77777777" w:rsidR="00A27AC2" w:rsidRDefault="009C0578" w:rsidP="00CC5AE7">
      <w:r>
        <w:t>Each party has internal disciplinary procedures that cover security breaches (including misuse or unauthorised disclosure). If misuse is found, each party has a mechanism to facilitate an investigation, including initiating criminal proceedings where necessary.</w:t>
      </w:r>
    </w:p>
    <w:p w14:paraId="7D2AE19E" w14:textId="77777777" w:rsidR="00A27AC2" w:rsidRDefault="00A27AC2" w:rsidP="00CC5AE7">
      <w:pPr>
        <w:spacing w:before="0" w:line="276" w:lineRule="auto"/>
      </w:pPr>
    </w:p>
    <w:p w14:paraId="0BB827A6" w14:textId="77777777" w:rsidR="00D01E5D" w:rsidRPr="00D01E5D" w:rsidRDefault="00D01E5D" w:rsidP="00CC5AE7">
      <w:pPr>
        <w:pStyle w:val="Heading3"/>
        <w:ind w:left="0"/>
        <w:rPr>
          <w:b w:val="0"/>
          <w:bCs/>
          <w:color w:val="auto"/>
          <w:sz w:val="22"/>
          <w:szCs w:val="22"/>
        </w:rPr>
      </w:pPr>
      <w:bookmarkStart w:id="88" w:name="_Toc168411316"/>
      <w:bookmarkStart w:id="89" w:name="_Toc168982270"/>
      <w:r w:rsidRPr="00D01E5D">
        <w:rPr>
          <w:color w:val="auto"/>
          <w:sz w:val="22"/>
          <w:szCs w:val="22"/>
        </w:rPr>
        <w:t xml:space="preserve">Describe how incidents will be handled </w:t>
      </w:r>
      <w:r w:rsidRPr="00D01E5D">
        <w:rPr>
          <w:b w:val="0"/>
          <w:bCs/>
          <w:color w:val="auto"/>
          <w:sz w:val="22"/>
          <w:szCs w:val="22"/>
        </w:rPr>
        <w:t>- which party is responsible (if not all individually), is one party responsible for a system or database?</w:t>
      </w:r>
      <w:bookmarkEnd w:id="88"/>
      <w:bookmarkEnd w:id="89"/>
    </w:p>
    <w:p w14:paraId="7152191C" w14:textId="5E1C32E8" w:rsidR="00A27AC2" w:rsidRDefault="00D01E5D" w:rsidP="00CC5AE7">
      <w:pPr>
        <w:spacing w:before="240" w:after="240" w:line="240" w:lineRule="auto"/>
      </w:pPr>
      <w:r>
        <w:t>Each party has processes for handling data protection complaints. The party shall notify the other party where it is relevant to the data that has been shared and to the complaint.</w:t>
      </w:r>
    </w:p>
    <w:p w14:paraId="14544B98" w14:textId="77777777" w:rsidR="0011578E" w:rsidRDefault="0011578E" w:rsidP="00CC5AE7">
      <w:pPr>
        <w:spacing w:before="240" w:after="240" w:line="240" w:lineRule="auto"/>
      </w:pPr>
    </w:p>
    <w:p w14:paraId="759A42BA" w14:textId="305FAA13" w:rsidR="00A27AC2" w:rsidRDefault="71920FC6" w:rsidP="18324EA3">
      <w:pPr>
        <w:pStyle w:val="Heading2"/>
        <w:ind w:left="0" w:firstLine="0"/>
      </w:pPr>
      <w:bookmarkStart w:id="90" w:name="_Toc168982271"/>
      <w:r>
        <w:t xml:space="preserve">4.7 </w:t>
      </w:r>
      <w:r w:rsidR="009C0578">
        <w:t>Retention and Disposal</w:t>
      </w:r>
      <w:bookmarkEnd w:id="90"/>
      <w:r w:rsidR="009C0578">
        <w:t xml:space="preserve"> </w:t>
      </w:r>
    </w:p>
    <w:p w14:paraId="39FEC7A4" w14:textId="77777777" w:rsidR="00A27AC2" w:rsidRDefault="009C0578" w:rsidP="00CC5AE7">
      <w:pPr>
        <w:pBdr>
          <w:top w:val="nil"/>
          <w:left w:val="nil"/>
          <w:bottom w:val="nil"/>
          <w:right w:val="nil"/>
          <w:between w:val="nil"/>
        </w:pBdr>
      </w:pPr>
      <w:r>
        <w:t>The parties may have different retention periods, potentially with a different period for combined data.</w:t>
      </w:r>
    </w:p>
    <w:p w14:paraId="71D5776B" w14:textId="489701E5" w:rsidR="00106EF4" w:rsidRDefault="009C0578" w:rsidP="00CC5AE7">
      <w:pPr>
        <w:rPr>
          <w:b/>
          <w:color w:val="3A3D41"/>
          <w:sz w:val="24"/>
          <w:szCs w:val="24"/>
        </w:rPr>
      </w:pPr>
      <w:r>
        <w:t>Each party will state a retention period and securely dispose of or delete personal data once it is no longer required.</w:t>
      </w:r>
      <w:r w:rsidR="00106EF4">
        <w:br w:type="page"/>
      </w:r>
    </w:p>
    <w:p w14:paraId="289EC54A" w14:textId="305617A2" w:rsidR="00A27AC2" w:rsidRDefault="001C6283" w:rsidP="00CC5AE7">
      <w:pPr>
        <w:pStyle w:val="Heading3"/>
        <w:ind w:left="0"/>
      </w:pPr>
      <w:bookmarkStart w:id="91" w:name="_Toc168982272"/>
      <w:r>
        <w:lastRenderedPageBreak/>
        <w:t xml:space="preserve">4.7.1 </w:t>
      </w:r>
      <w:r w:rsidR="009C0578">
        <w:t>Retention periods</w:t>
      </w:r>
      <w:bookmarkEnd w:id="91"/>
    </w:p>
    <w:p w14:paraId="6E037C40" w14:textId="77777777" w:rsidR="00A27AC2" w:rsidRDefault="009C0578" w:rsidP="00CC5AE7">
      <w:pPr>
        <w:pBdr>
          <w:top w:val="nil"/>
          <w:left w:val="nil"/>
          <w:bottom w:val="nil"/>
          <w:right w:val="nil"/>
          <w:between w:val="nil"/>
        </w:pBdr>
      </w:pPr>
      <w:r>
        <w:t>The following retention periods apply to the data shared under this DSA. These may be for the data each party is sharing and/or for the combined data being shared.</w:t>
      </w:r>
    </w:p>
    <w:p w14:paraId="16C29153" w14:textId="77777777" w:rsidR="00A27AC2" w:rsidRDefault="00A27AC2" w:rsidP="00CC5AE7">
      <w:pPr>
        <w:pBdr>
          <w:top w:val="nil"/>
          <w:left w:val="nil"/>
          <w:bottom w:val="nil"/>
          <w:right w:val="nil"/>
          <w:between w:val="nil"/>
        </w:pBdr>
      </w:pPr>
    </w:p>
    <w:tbl>
      <w:tblPr>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210"/>
        <w:gridCol w:w="2220"/>
        <w:gridCol w:w="4905"/>
      </w:tblGrid>
      <w:tr w:rsidR="00A27AC2" w14:paraId="4CC0254E" w14:textId="77777777" w:rsidTr="00DD2483">
        <w:tc>
          <w:tcPr>
            <w:tcW w:w="3210" w:type="dxa"/>
            <w:shd w:val="clear" w:color="auto" w:fill="D9D9D9"/>
            <w:tcMar>
              <w:top w:w="100" w:type="dxa"/>
              <w:left w:w="100" w:type="dxa"/>
              <w:bottom w:w="100" w:type="dxa"/>
              <w:right w:w="100" w:type="dxa"/>
            </w:tcMar>
          </w:tcPr>
          <w:p w14:paraId="414DCA2F" w14:textId="77777777" w:rsidR="00A27AC2" w:rsidRDefault="009C0578" w:rsidP="00CC5AE7">
            <w:pPr>
              <w:widowControl w:val="0"/>
              <w:pBdr>
                <w:top w:val="nil"/>
                <w:left w:val="nil"/>
                <w:bottom w:val="nil"/>
                <w:right w:val="nil"/>
                <w:between w:val="nil"/>
              </w:pBdr>
              <w:spacing w:before="0" w:after="0" w:line="240" w:lineRule="auto"/>
              <w:rPr>
                <w:b/>
              </w:rPr>
            </w:pPr>
            <w:r>
              <w:rPr>
                <w:b/>
              </w:rPr>
              <w:t>Data/Organisation</w:t>
            </w:r>
          </w:p>
        </w:tc>
        <w:tc>
          <w:tcPr>
            <w:tcW w:w="2220" w:type="dxa"/>
            <w:shd w:val="clear" w:color="auto" w:fill="D9D9D9"/>
            <w:tcMar>
              <w:top w:w="100" w:type="dxa"/>
              <w:left w:w="100" w:type="dxa"/>
              <w:bottom w:w="100" w:type="dxa"/>
              <w:right w:w="100" w:type="dxa"/>
            </w:tcMar>
          </w:tcPr>
          <w:p w14:paraId="60524D48" w14:textId="77777777" w:rsidR="00A27AC2" w:rsidRDefault="009C0578" w:rsidP="00CC5AE7">
            <w:pPr>
              <w:widowControl w:val="0"/>
              <w:pBdr>
                <w:top w:val="nil"/>
                <w:left w:val="nil"/>
                <w:bottom w:val="nil"/>
                <w:right w:val="nil"/>
                <w:between w:val="nil"/>
              </w:pBdr>
              <w:spacing w:before="0" w:after="0" w:line="240" w:lineRule="auto"/>
              <w:rPr>
                <w:b/>
              </w:rPr>
            </w:pPr>
            <w:r>
              <w:rPr>
                <w:b/>
              </w:rPr>
              <w:t>Retention period</w:t>
            </w:r>
          </w:p>
        </w:tc>
        <w:tc>
          <w:tcPr>
            <w:tcW w:w="4905" w:type="dxa"/>
            <w:shd w:val="clear" w:color="auto" w:fill="D9D9D9"/>
            <w:tcMar>
              <w:top w:w="100" w:type="dxa"/>
              <w:left w:w="100" w:type="dxa"/>
              <w:bottom w:w="100" w:type="dxa"/>
              <w:right w:w="100" w:type="dxa"/>
            </w:tcMar>
          </w:tcPr>
          <w:p w14:paraId="506BA5B0" w14:textId="77777777" w:rsidR="00A27AC2" w:rsidRDefault="009C0578" w:rsidP="00CC5AE7">
            <w:pPr>
              <w:widowControl w:val="0"/>
              <w:pBdr>
                <w:top w:val="nil"/>
                <w:left w:val="nil"/>
                <w:bottom w:val="nil"/>
                <w:right w:val="nil"/>
                <w:between w:val="nil"/>
              </w:pBdr>
              <w:spacing w:before="0" w:after="0" w:line="240" w:lineRule="auto"/>
              <w:rPr>
                <w:b/>
              </w:rPr>
            </w:pPr>
            <w:r>
              <w:rPr>
                <w:b/>
              </w:rPr>
              <w:t>Automated or manual deletion? What processes ensure that disposal happens at the allotted time?</w:t>
            </w:r>
          </w:p>
        </w:tc>
      </w:tr>
      <w:tr w:rsidR="00A27AC2" w14:paraId="1AEFF93B" w14:textId="77777777" w:rsidTr="00DD2483">
        <w:tc>
          <w:tcPr>
            <w:tcW w:w="3210" w:type="dxa"/>
            <w:shd w:val="clear" w:color="auto" w:fill="auto"/>
            <w:tcMar>
              <w:top w:w="100" w:type="dxa"/>
              <w:left w:w="100" w:type="dxa"/>
              <w:bottom w:w="100" w:type="dxa"/>
              <w:right w:w="100" w:type="dxa"/>
            </w:tcMar>
          </w:tcPr>
          <w:p w14:paraId="02640F69" w14:textId="12EA1157" w:rsidR="00A27AC2" w:rsidRDefault="00EC3CDE" w:rsidP="00CC5AE7">
            <w:pPr>
              <w:widowControl w:val="0"/>
              <w:pBdr>
                <w:top w:val="nil"/>
                <w:left w:val="nil"/>
                <w:bottom w:val="nil"/>
                <w:right w:val="nil"/>
                <w:between w:val="nil"/>
              </w:pBdr>
              <w:spacing w:before="0" w:after="0" w:line="240" w:lineRule="auto"/>
            </w:pPr>
            <w:r>
              <w:t>Communications provider</w:t>
            </w:r>
          </w:p>
        </w:tc>
        <w:tc>
          <w:tcPr>
            <w:tcW w:w="2220" w:type="dxa"/>
            <w:shd w:val="clear" w:color="auto" w:fill="auto"/>
            <w:tcMar>
              <w:top w:w="100" w:type="dxa"/>
              <w:left w:w="100" w:type="dxa"/>
              <w:bottom w:w="100" w:type="dxa"/>
              <w:right w:w="100" w:type="dxa"/>
            </w:tcMar>
          </w:tcPr>
          <w:p w14:paraId="6133ABA1" w14:textId="77777777" w:rsidR="00EC3CDE" w:rsidRDefault="00EC3CDE" w:rsidP="00CC5AE7">
            <w:pPr>
              <w:widowControl w:val="0"/>
              <w:pBdr>
                <w:top w:val="nil"/>
                <w:left w:val="nil"/>
                <w:bottom w:val="nil"/>
                <w:right w:val="nil"/>
                <w:between w:val="nil"/>
              </w:pBdr>
              <w:spacing w:before="0" w:after="0" w:line="240" w:lineRule="auto"/>
            </w:pPr>
            <w:r>
              <w:t>Unmatched data – deleted after matching exercise</w:t>
            </w:r>
          </w:p>
          <w:p w14:paraId="03EF951A" w14:textId="77777777" w:rsidR="00EC3CDE" w:rsidRDefault="00EC3CDE" w:rsidP="00CC5AE7">
            <w:pPr>
              <w:widowControl w:val="0"/>
              <w:pBdr>
                <w:top w:val="nil"/>
                <w:left w:val="nil"/>
                <w:bottom w:val="nil"/>
                <w:right w:val="nil"/>
                <w:between w:val="nil"/>
              </w:pBdr>
              <w:spacing w:before="0" w:after="0" w:line="240" w:lineRule="auto"/>
            </w:pPr>
          </w:p>
          <w:p w14:paraId="53AFDC1A" w14:textId="552AFAE7" w:rsidR="00A27AC2" w:rsidRDefault="00EC3CDE" w:rsidP="00CC5AE7">
            <w:pPr>
              <w:widowControl w:val="0"/>
              <w:pBdr>
                <w:top w:val="nil"/>
                <w:left w:val="nil"/>
                <w:bottom w:val="nil"/>
                <w:right w:val="nil"/>
                <w:between w:val="nil"/>
              </w:pBdr>
              <w:spacing w:before="0" w:after="0" w:line="240" w:lineRule="auto"/>
            </w:pPr>
            <w:r>
              <w:t xml:space="preserve">Matched data – retained on the client file for the normal retention period of </w:t>
            </w:r>
            <w:r w:rsidRPr="00EC3CDE">
              <w:rPr>
                <w:highlight w:val="yellow"/>
              </w:rPr>
              <w:t>[insert retention period of CP]</w:t>
            </w:r>
          </w:p>
        </w:tc>
        <w:tc>
          <w:tcPr>
            <w:tcW w:w="4905" w:type="dxa"/>
            <w:shd w:val="clear" w:color="auto" w:fill="auto"/>
            <w:tcMar>
              <w:top w:w="100" w:type="dxa"/>
              <w:left w:w="100" w:type="dxa"/>
              <w:bottom w:w="100" w:type="dxa"/>
              <w:right w:w="100" w:type="dxa"/>
            </w:tcMar>
          </w:tcPr>
          <w:p w14:paraId="5ECD1F02" w14:textId="77777777" w:rsidR="00A27AC2" w:rsidRDefault="00EC3CDE" w:rsidP="00CC5AE7">
            <w:pPr>
              <w:widowControl w:val="0"/>
              <w:pBdr>
                <w:top w:val="nil"/>
                <w:left w:val="nil"/>
                <w:bottom w:val="nil"/>
                <w:right w:val="nil"/>
                <w:between w:val="nil"/>
              </w:pBdr>
              <w:spacing w:before="0" w:after="0" w:line="240" w:lineRule="auto"/>
            </w:pPr>
            <w:r>
              <w:t>Unmatched data – manual deletion</w:t>
            </w:r>
          </w:p>
          <w:p w14:paraId="62163600" w14:textId="77777777" w:rsidR="00EC3CDE" w:rsidRDefault="00EC3CDE" w:rsidP="00CC5AE7">
            <w:pPr>
              <w:widowControl w:val="0"/>
              <w:pBdr>
                <w:top w:val="nil"/>
                <w:left w:val="nil"/>
                <w:bottom w:val="nil"/>
                <w:right w:val="nil"/>
                <w:between w:val="nil"/>
              </w:pBdr>
              <w:spacing w:before="0" w:after="0" w:line="240" w:lineRule="auto"/>
            </w:pPr>
          </w:p>
          <w:p w14:paraId="1C9BAAB1" w14:textId="7F414181" w:rsidR="00EC3CDE" w:rsidRDefault="00EC3CDE" w:rsidP="00CC5AE7">
            <w:pPr>
              <w:widowControl w:val="0"/>
              <w:pBdr>
                <w:top w:val="nil"/>
                <w:left w:val="nil"/>
                <w:bottom w:val="nil"/>
                <w:right w:val="nil"/>
                <w:between w:val="nil"/>
              </w:pBdr>
              <w:spacing w:before="0" w:after="0" w:line="240" w:lineRule="auto"/>
            </w:pPr>
            <w:r>
              <w:t>Matched data – deletion as part of process for whole client file.</w:t>
            </w:r>
          </w:p>
        </w:tc>
      </w:tr>
      <w:tr w:rsidR="00A27AC2" w14:paraId="4F91699F" w14:textId="77777777" w:rsidTr="00DD2483">
        <w:tc>
          <w:tcPr>
            <w:tcW w:w="3210" w:type="dxa"/>
            <w:shd w:val="clear" w:color="auto" w:fill="auto"/>
            <w:tcMar>
              <w:top w:w="100" w:type="dxa"/>
              <w:left w:w="100" w:type="dxa"/>
              <w:bottom w:w="100" w:type="dxa"/>
              <w:right w:w="100" w:type="dxa"/>
            </w:tcMar>
          </w:tcPr>
          <w:p w14:paraId="0339175E" w14:textId="09AE4AF9" w:rsidR="00A27AC2" w:rsidRDefault="00EC3CDE" w:rsidP="00CC5AE7">
            <w:pPr>
              <w:widowControl w:val="0"/>
              <w:pBdr>
                <w:top w:val="nil"/>
                <w:left w:val="nil"/>
                <w:bottom w:val="nil"/>
                <w:right w:val="nil"/>
                <w:between w:val="nil"/>
              </w:pBdr>
              <w:spacing w:before="0" w:after="0" w:line="240" w:lineRule="auto"/>
            </w:pPr>
            <w:r>
              <w:t>Local authority</w:t>
            </w:r>
          </w:p>
        </w:tc>
        <w:tc>
          <w:tcPr>
            <w:tcW w:w="2220" w:type="dxa"/>
            <w:shd w:val="clear" w:color="auto" w:fill="auto"/>
            <w:tcMar>
              <w:top w:w="100" w:type="dxa"/>
              <w:left w:w="100" w:type="dxa"/>
              <w:bottom w:w="100" w:type="dxa"/>
              <w:right w:w="100" w:type="dxa"/>
            </w:tcMar>
          </w:tcPr>
          <w:p w14:paraId="404216D6" w14:textId="5A8EC013" w:rsidR="00A27AC2" w:rsidRDefault="00F57716" w:rsidP="00CC5AE7">
            <w:pPr>
              <w:widowControl w:val="0"/>
              <w:pBdr>
                <w:top w:val="nil"/>
                <w:left w:val="nil"/>
                <w:bottom w:val="nil"/>
                <w:right w:val="nil"/>
                <w:between w:val="nil"/>
              </w:pBdr>
              <w:spacing w:before="0" w:after="0" w:line="240" w:lineRule="auto"/>
            </w:pPr>
            <w:r w:rsidRPr="00675F34">
              <w:rPr>
                <w:highlight w:val="yellow"/>
              </w:rPr>
              <w:t>[LA to state]</w:t>
            </w:r>
          </w:p>
        </w:tc>
        <w:tc>
          <w:tcPr>
            <w:tcW w:w="4905" w:type="dxa"/>
            <w:shd w:val="clear" w:color="auto" w:fill="auto"/>
            <w:tcMar>
              <w:top w:w="100" w:type="dxa"/>
              <w:left w:w="100" w:type="dxa"/>
              <w:bottom w:w="100" w:type="dxa"/>
              <w:right w:w="100" w:type="dxa"/>
            </w:tcMar>
          </w:tcPr>
          <w:p w14:paraId="4272F798" w14:textId="67B0A2AC" w:rsidR="00A27AC2" w:rsidRDefault="00DC561F" w:rsidP="00CC5AE7">
            <w:pPr>
              <w:widowControl w:val="0"/>
              <w:pBdr>
                <w:top w:val="nil"/>
                <w:left w:val="nil"/>
                <w:bottom w:val="nil"/>
                <w:right w:val="nil"/>
                <w:between w:val="nil"/>
              </w:pBdr>
              <w:spacing w:before="0" w:after="0" w:line="240" w:lineRule="auto"/>
            </w:pPr>
            <w:r w:rsidRPr="00675F34">
              <w:rPr>
                <w:highlight w:val="yellow"/>
              </w:rPr>
              <w:t>[LA to state]</w:t>
            </w:r>
          </w:p>
        </w:tc>
      </w:tr>
    </w:tbl>
    <w:p w14:paraId="080DC20E" w14:textId="77777777" w:rsidR="00A27AC2" w:rsidRDefault="00A27AC2" w:rsidP="00CC5AE7"/>
    <w:p w14:paraId="12DA381B" w14:textId="3DD23C5A" w:rsidR="00A27AC2" w:rsidRDefault="00106EF4" w:rsidP="00CC5AE7">
      <w:pPr>
        <w:pStyle w:val="Heading3"/>
        <w:ind w:left="0"/>
      </w:pPr>
      <w:bookmarkStart w:id="92" w:name="_Toc168982273"/>
      <w:r>
        <w:t xml:space="preserve">4.7.2 </w:t>
      </w:r>
      <w:r w:rsidR="009C0578">
        <w:t>When sharing ends</w:t>
      </w:r>
      <w:bookmarkEnd w:id="92"/>
    </w:p>
    <w:p w14:paraId="58A70CF1" w14:textId="77777777" w:rsidR="00A27AC2" w:rsidRDefault="009C0578" w:rsidP="00CC5AE7">
      <w:r>
        <w:t xml:space="preserve">The parties must agree what happens to the shared data once the data sharing activity ends. </w:t>
      </w:r>
    </w:p>
    <w:p w14:paraId="1D08CF46" w14:textId="77777777" w:rsidR="007E65B3" w:rsidRPr="007E65B3" w:rsidRDefault="007E65B3" w:rsidP="00CC5AE7">
      <w:pPr>
        <w:pStyle w:val="Heading3"/>
        <w:ind w:left="0"/>
        <w:rPr>
          <w:color w:val="auto"/>
          <w:sz w:val="22"/>
          <w:szCs w:val="22"/>
        </w:rPr>
      </w:pPr>
      <w:bookmarkStart w:id="93" w:name="_Toc168411320"/>
      <w:bookmarkStart w:id="94" w:name="_Toc168982274"/>
      <w:r w:rsidRPr="007E65B3">
        <w:rPr>
          <w:color w:val="auto"/>
          <w:sz w:val="22"/>
          <w:szCs w:val="22"/>
        </w:rPr>
        <w:t>Describe</w:t>
      </w:r>
      <w:bookmarkEnd w:id="93"/>
      <w:bookmarkEnd w:id="94"/>
    </w:p>
    <w:p w14:paraId="76048027" w14:textId="77777777" w:rsidR="007E65B3" w:rsidRDefault="007E65B3" w:rsidP="00CC5AE7">
      <w:pPr>
        <w:spacing w:before="240" w:after="240" w:line="240" w:lineRule="auto"/>
        <w:rPr>
          <w:bCs/>
        </w:rPr>
      </w:pPr>
      <w:r>
        <w:rPr>
          <w:bCs/>
        </w:rPr>
        <w:t>The CP will incorporate the information that a client has telecare devices into their client file as part of their normal processes for supporting vulnerable clients. The data will be retained for the periods stated above.</w:t>
      </w:r>
    </w:p>
    <w:p w14:paraId="25B53C33" w14:textId="77777777" w:rsidR="007E65B3" w:rsidRPr="00CC5F42" w:rsidRDefault="007E65B3" w:rsidP="00CC5AE7">
      <w:pPr>
        <w:spacing w:before="240" w:after="240" w:line="240" w:lineRule="auto"/>
        <w:rPr>
          <w:bCs/>
        </w:rPr>
      </w:pPr>
      <w:r>
        <w:rPr>
          <w:bCs/>
        </w:rPr>
        <w:t>The LA will delete the data matches from a CP once the switchover is complete.</w:t>
      </w:r>
    </w:p>
    <w:p w14:paraId="02CFE8EF" w14:textId="77777777" w:rsidR="00A27AC2" w:rsidRDefault="00A27AC2" w:rsidP="00CC5AE7">
      <w:pPr>
        <w:sectPr w:rsidR="00A27AC2" w:rsidSect="008B075F">
          <w:type w:val="continuous"/>
          <w:pgSz w:w="11900" w:h="16820"/>
          <w:pgMar w:top="851" w:right="1936" w:bottom="0" w:left="708" w:header="283" w:footer="283" w:gutter="0"/>
          <w:pgNumType w:start="1"/>
          <w:cols w:space="720"/>
        </w:sectPr>
      </w:pPr>
    </w:p>
    <w:p w14:paraId="7D27CFE5" w14:textId="01D3126D" w:rsidR="00A27AC2" w:rsidRDefault="18324EA3" w:rsidP="18324EA3">
      <w:pPr>
        <w:pStyle w:val="Heading1"/>
        <w:ind w:left="0" w:firstLine="0"/>
      </w:pPr>
      <w:bookmarkStart w:id="95" w:name="_Toc168982275"/>
      <w:r>
        <w:lastRenderedPageBreak/>
        <w:t xml:space="preserve">5. </w:t>
      </w:r>
      <w:r w:rsidR="009C0578">
        <w:t>Appendices</w:t>
      </w:r>
      <w:bookmarkEnd w:id="95"/>
    </w:p>
    <w:p w14:paraId="7B5F7170" w14:textId="601F57F7" w:rsidR="00A27AC2" w:rsidRDefault="44482A58" w:rsidP="18324EA3">
      <w:pPr>
        <w:pStyle w:val="Heading2"/>
        <w:ind w:left="0" w:firstLine="0"/>
      </w:pPr>
      <w:bookmarkStart w:id="96" w:name="_Toc168982276"/>
      <w:r>
        <w:t xml:space="preserve">5.1 </w:t>
      </w:r>
      <w:r w:rsidR="009C0578">
        <w:t>Appendix A:  Parties to this agreement</w:t>
      </w:r>
      <w:bookmarkEnd w:id="96"/>
    </w:p>
    <w:p w14:paraId="178FC02A" w14:textId="77777777" w:rsidR="00A27AC2" w:rsidRDefault="00A27AC2" w:rsidP="00CC5AE7">
      <w:pPr>
        <w:spacing w:before="0" w:after="0" w:line="240" w:lineRule="auto"/>
      </w:pPr>
    </w:p>
    <w:p w14:paraId="00CBC315" w14:textId="77777777" w:rsidR="00A27AC2" w:rsidRDefault="009C0578" w:rsidP="00CC5AE7">
      <w:pPr>
        <w:spacing w:before="0" w:after="0" w:line="240" w:lineRule="auto"/>
        <w:rPr>
          <w:b/>
        </w:rPr>
      </w:pPr>
      <w:r>
        <w:rPr>
          <w:b/>
        </w:rPr>
        <w:t>Local Partners</w:t>
      </w:r>
    </w:p>
    <w:p w14:paraId="2407BC78" w14:textId="77777777" w:rsidR="00A27AC2" w:rsidRDefault="00A27AC2" w:rsidP="00CC5AE7">
      <w:pPr>
        <w:spacing w:before="0" w:after="0" w:line="240" w:lineRule="auto"/>
      </w:pPr>
    </w:p>
    <w:p w14:paraId="57D61824" w14:textId="77777777" w:rsidR="00A27AC2" w:rsidRDefault="009C0578" w:rsidP="00CC5AE7">
      <w:pPr>
        <w:spacing w:before="0" w:after="0" w:line="240" w:lineRule="auto"/>
      </w:pPr>
      <w:r>
        <w:t>As described in 1.2, local partners are not specifically named on the DSA when it is published. However, it may be accepted that a type of organisation will be a local partner. For example, multiple London Boroughs are expected to employ NHS Trusts to deliver substance misuse services. Where this is expected, below you should list the type of organisation expected to be a local partner.</w:t>
      </w:r>
    </w:p>
    <w:p w14:paraId="4B690C89" w14:textId="77777777" w:rsidR="00A27AC2" w:rsidRDefault="00A27AC2" w:rsidP="00CC5AE7">
      <w:pPr>
        <w:spacing w:before="0" w:after="0" w:line="240" w:lineRule="auto"/>
      </w:pPr>
    </w:p>
    <w:p w14:paraId="1812B1B3" w14:textId="77777777" w:rsidR="00A27AC2" w:rsidRDefault="00A27AC2" w:rsidP="00CC5AE7">
      <w:pPr>
        <w:spacing w:before="0" w:after="0" w:line="240" w:lineRule="auto"/>
      </w:pPr>
    </w:p>
    <w:tbl>
      <w:tblPr>
        <w:tblW w:w="1207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43"/>
        <w:gridCol w:w="9832"/>
      </w:tblGrid>
      <w:tr w:rsidR="00C30444" w14:paraId="55851B63" w14:textId="77777777" w:rsidTr="00DD2483">
        <w:trPr>
          <w:tblHeader/>
        </w:trPr>
        <w:tc>
          <w:tcPr>
            <w:tcW w:w="2243" w:type="dxa"/>
            <w:shd w:val="clear" w:color="auto" w:fill="D9D9D9"/>
          </w:tcPr>
          <w:p w14:paraId="2037CFE9" w14:textId="77777777" w:rsidR="00C30444" w:rsidRDefault="00C30444" w:rsidP="00CC5AE7">
            <w:pPr>
              <w:pBdr>
                <w:top w:val="nil"/>
                <w:left w:val="nil"/>
                <w:bottom w:val="nil"/>
                <w:right w:val="nil"/>
                <w:between w:val="nil"/>
              </w:pBdr>
              <w:rPr>
                <w:b/>
                <w:sz w:val="24"/>
                <w:szCs w:val="24"/>
              </w:rPr>
            </w:pPr>
            <w:r>
              <w:rPr>
                <w:b/>
                <w:sz w:val="24"/>
                <w:szCs w:val="24"/>
              </w:rPr>
              <w:t>Organisation name or type</w:t>
            </w:r>
          </w:p>
        </w:tc>
        <w:tc>
          <w:tcPr>
            <w:tcW w:w="9832" w:type="dxa"/>
            <w:shd w:val="clear" w:color="auto" w:fill="D9D9D9"/>
          </w:tcPr>
          <w:p w14:paraId="182FD3BF" w14:textId="77777777" w:rsidR="00C30444" w:rsidRDefault="00C30444" w:rsidP="00CC5AE7">
            <w:pPr>
              <w:pBdr>
                <w:top w:val="nil"/>
                <w:left w:val="nil"/>
                <w:bottom w:val="nil"/>
                <w:right w:val="nil"/>
                <w:between w:val="nil"/>
              </w:pBdr>
              <w:rPr>
                <w:b/>
                <w:sz w:val="24"/>
                <w:szCs w:val="24"/>
              </w:rPr>
            </w:pPr>
            <w:r>
              <w:rPr>
                <w:b/>
                <w:sz w:val="24"/>
                <w:szCs w:val="24"/>
              </w:rPr>
              <w:t>Duties</w:t>
            </w:r>
          </w:p>
        </w:tc>
      </w:tr>
      <w:tr w:rsidR="00C30444" w14:paraId="3D965E0A" w14:textId="77777777" w:rsidTr="00DD2483">
        <w:tc>
          <w:tcPr>
            <w:tcW w:w="2243" w:type="dxa"/>
          </w:tcPr>
          <w:p w14:paraId="6E78804D" w14:textId="7DBB5A3E" w:rsidR="00C30444" w:rsidRDefault="00B67347" w:rsidP="00CC5AE7">
            <w:pPr>
              <w:pBdr>
                <w:top w:val="nil"/>
                <w:left w:val="nil"/>
                <w:bottom w:val="nil"/>
                <w:right w:val="nil"/>
                <w:between w:val="nil"/>
              </w:pBdr>
              <w:rPr>
                <w:color w:val="000000"/>
              </w:rPr>
            </w:pPr>
            <w:r w:rsidRPr="002B461E">
              <w:rPr>
                <w:highlight w:val="yellow"/>
              </w:rPr>
              <w:t>[</w:t>
            </w:r>
            <w:r w:rsidR="00591F88">
              <w:rPr>
                <w:highlight w:val="yellow"/>
              </w:rPr>
              <w:t xml:space="preserve">Insert </w:t>
            </w:r>
            <w:r w:rsidRPr="002B461E">
              <w:rPr>
                <w:highlight w:val="yellow"/>
              </w:rPr>
              <w:t>CP name]</w:t>
            </w:r>
          </w:p>
        </w:tc>
        <w:tc>
          <w:tcPr>
            <w:tcW w:w="9832" w:type="dxa"/>
          </w:tcPr>
          <w:p w14:paraId="1FDEF3EC" w14:textId="77777777" w:rsidR="00C30444" w:rsidRDefault="00C30444" w:rsidP="00F236C4">
            <w:pPr>
              <w:numPr>
                <w:ilvl w:val="0"/>
                <w:numId w:val="7"/>
              </w:numPr>
              <w:pBdr>
                <w:top w:val="nil"/>
                <w:left w:val="nil"/>
                <w:bottom w:val="nil"/>
                <w:right w:val="nil"/>
                <w:between w:val="nil"/>
              </w:pBdr>
              <w:ind w:left="171"/>
              <w:rPr>
                <w:color w:val="000000"/>
              </w:rPr>
            </w:pPr>
            <w:r>
              <w:t>Delivery of telephony services to customers.</w:t>
            </w:r>
          </w:p>
          <w:p w14:paraId="47407894" w14:textId="77777777" w:rsidR="00C30444" w:rsidRDefault="00C30444" w:rsidP="00F236C4">
            <w:pPr>
              <w:numPr>
                <w:ilvl w:val="0"/>
                <w:numId w:val="7"/>
              </w:numPr>
              <w:pBdr>
                <w:top w:val="nil"/>
                <w:left w:val="nil"/>
                <w:bottom w:val="nil"/>
                <w:right w:val="nil"/>
                <w:between w:val="nil"/>
              </w:pBdr>
              <w:ind w:left="171"/>
              <w:rPr>
                <w:color w:val="000000"/>
              </w:rPr>
            </w:pPr>
            <w:r>
              <w:t>Duty to protect vulnerable clients during the national digital switchover.</w:t>
            </w:r>
          </w:p>
        </w:tc>
      </w:tr>
      <w:tr w:rsidR="00C30444" w14:paraId="597C76FE" w14:textId="77777777" w:rsidTr="00DD2483">
        <w:tc>
          <w:tcPr>
            <w:tcW w:w="2243" w:type="dxa"/>
          </w:tcPr>
          <w:p w14:paraId="10857C31" w14:textId="0F1955CF" w:rsidR="00C30444" w:rsidRDefault="00B67347" w:rsidP="00CC5AE7">
            <w:pPr>
              <w:pBdr>
                <w:top w:val="nil"/>
                <w:left w:val="nil"/>
                <w:bottom w:val="nil"/>
                <w:right w:val="nil"/>
                <w:between w:val="nil"/>
              </w:pBdr>
            </w:pPr>
            <w:r w:rsidRPr="002B461E">
              <w:rPr>
                <w:highlight w:val="yellow"/>
              </w:rPr>
              <w:t>[</w:t>
            </w:r>
            <w:r w:rsidR="00591F88">
              <w:rPr>
                <w:highlight w:val="yellow"/>
              </w:rPr>
              <w:t xml:space="preserve">Insert </w:t>
            </w:r>
            <w:commentRangeStart w:id="97"/>
            <w:commentRangeStart w:id="98"/>
            <w:r w:rsidRPr="002B461E">
              <w:rPr>
                <w:highlight w:val="yellow"/>
              </w:rPr>
              <w:t>Local authority name]</w:t>
            </w:r>
            <w:commentRangeEnd w:id="97"/>
            <w:r w:rsidRPr="002B461E">
              <w:rPr>
                <w:highlight w:val="yellow"/>
              </w:rPr>
              <w:commentReference w:id="97"/>
            </w:r>
            <w:commentRangeEnd w:id="98"/>
            <w:r w:rsidRPr="002B461E">
              <w:rPr>
                <w:rStyle w:val="CommentReference"/>
                <w:highlight w:val="yellow"/>
              </w:rPr>
              <w:commentReference w:id="98"/>
            </w:r>
          </w:p>
        </w:tc>
        <w:tc>
          <w:tcPr>
            <w:tcW w:w="9832" w:type="dxa"/>
          </w:tcPr>
          <w:p w14:paraId="6BFA2E94" w14:textId="77777777" w:rsidR="00C30444" w:rsidRDefault="00C30444" w:rsidP="00F236C4">
            <w:pPr>
              <w:numPr>
                <w:ilvl w:val="0"/>
                <w:numId w:val="7"/>
              </w:numPr>
              <w:pBdr>
                <w:top w:val="nil"/>
                <w:left w:val="nil"/>
                <w:bottom w:val="nil"/>
                <w:right w:val="nil"/>
                <w:between w:val="nil"/>
              </w:pBdr>
              <w:ind w:left="170"/>
              <w:rPr>
                <w:b/>
                <w:color w:val="000000"/>
              </w:rPr>
            </w:pPr>
            <w:r>
              <w:t>Duties under the Care Act 2014 to deliver adult social care services to vulnerable clients.</w:t>
            </w:r>
          </w:p>
          <w:p w14:paraId="77D9C83E" w14:textId="77777777" w:rsidR="00C30444" w:rsidRDefault="00C30444" w:rsidP="00F236C4">
            <w:pPr>
              <w:numPr>
                <w:ilvl w:val="0"/>
                <w:numId w:val="7"/>
              </w:numPr>
              <w:pBdr>
                <w:top w:val="nil"/>
                <w:left w:val="nil"/>
                <w:bottom w:val="nil"/>
                <w:right w:val="nil"/>
                <w:between w:val="nil"/>
              </w:pBdr>
              <w:ind w:left="170"/>
            </w:pPr>
            <w:r>
              <w:t>Duties under the Local Government Act 2000 and the Localism Act 2011 to undertake duties for the wellbeing of the borough and its residents.</w:t>
            </w:r>
          </w:p>
        </w:tc>
      </w:tr>
    </w:tbl>
    <w:p w14:paraId="16EDCE42" w14:textId="77777777" w:rsidR="00A27AC2" w:rsidRDefault="00A27AC2" w:rsidP="00CC5AE7">
      <w:pPr>
        <w:spacing w:before="0" w:after="0" w:line="240" w:lineRule="auto"/>
        <w:rPr>
          <w:color w:val="000000"/>
        </w:rPr>
        <w:sectPr w:rsidR="00A27AC2" w:rsidSect="008B075F">
          <w:pgSz w:w="16820" w:h="11900" w:orient="landscape"/>
          <w:pgMar w:top="1135" w:right="1936" w:bottom="1418" w:left="851" w:header="283" w:footer="283" w:gutter="0"/>
          <w:cols w:space="720"/>
        </w:sectPr>
      </w:pPr>
    </w:p>
    <w:p w14:paraId="1474FFAE" w14:textId="1944C62F" w:rsidR="00A27AC2" w:rsidRDefault="75C6038D" w:rsidP="18324EA3">
      <w:pPr>
        <w:pStyle w:val="Heading2"/>
        <w:ind w:left="-540" w:firstLine="0"/>
      </w:pPr>
      <w:bookmarkStart w:id="99" w:name="_2grqrue"/>
      <w:bookmarkStart w:id="100" w:name="_Toc168982277"/>
      <w:bookmarkEnd w:id="99"/>
      <w:r>
        <w:lastRenderedPageBreak/>
        <w:t xml:space="preserve">5.2 </w:t>
      </w:r>
      <w:r w:rsidR="009C0578">
        <w:t>Appendix B: Applicable legislation</w:t>
      </w:r>
      <w:bookmarkEnd w:id="100"/>
    </w:p>
    <w:p w14:paraId="67817CCB" w14:textId="77777777" w:rsidR="00A27AC2" w:rsidRDefault="00A27AC2" w:rsidP="00CC5AE7"/>
    <w:p w14:paraId="6D9D55A1" w14:textId="77777777" w:rsidR="00A27AC2" w:rsidRDefault="009C0578" w:rsidP="00CC5AE7">
      <w:pPr>
        <w:ind w:left="-567"/>
      </w:pPr>
      <w:r>
        <w:t>State the relevant sections and describe the duties and how the legislation applies to the listed party.</w:t>
      </w:r>
    </w:p>
    <w:p w14:paraId="47EAF22E" w14:textId="77777777" w:rsidR="00A27AC2" w:rsidRDefault="00A27AC2" w:rsidP="00CC5AE7">
      <w:pPr>
        <w:ind w:left="-708"/>
      </w:pPr>
    </w:p>
    <w:tbl>
      <w:tblPr>
        <w:tblW w:w="15150"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15"/>
        <w:gridCol w:w="2415"/>
        <w:gridCol w:w="4350"/>
        <w:gridCol w:w="5370"/>
      </w:tblGrid>
      <w:tr w:rsidR="00A27AC2" w14:paraId="13C8683D" w14:textId="77777777" w:rsidTr="18324EA3">
        <w:trPr>
          <w:cantSplit/>
          <w:tblHeader/>
        </w:trPr>
        <w:tc>
          <w:tcPr>
            <w:tcW w:w="3015" w:type="dxa"/>
            <w:shd w:val="clear" w:color="auto" w:fill="FFF2CC"/>
          </w:tcPr>
          <w:p w14:paraId="1B59AFBF" w14:textId="77777777" w:rsidR="00A27AC2" w:rsidRDefault="009C0578" w:rsidP="00CC5AE7">
            <w:pPr>
              <w:rPr>
                <w:b/>
              </w:rPr>
            </w:pPr>
            <w:r>
              <w:rPr>
                <w:b/>
              </w:rPr>
              <w:t>Legislation/Statutory guidance</w:t>
            </w:r>
          </w:p>
        </w:tc>
        <w:tc>
          <w:tcPr>
            <w:tcW w:w="2415" w:type="dxa"/>
            <w:shd w:val="clear" w:color="auto" w:fill="FFF2CC"/>
          </w:tcPr>
          <w:p w14:paraId="5AB7EE7A" w14:textId="77777777" w:rsidR="00A27AC2" w:rsidRDefault="009C0578" w:rsidP="00CC5AE7">
            <w:pPr>
              <w:rPr>
                <w:b/>
              </w:rPr>
            </w:pPr>
            <w:r>
              <w:rPr>
                <w:b/>
              </w:rPr>
              <w:t>Party to which it applies</w:t>
            </w:r>
          </w:p>
        </w:tc>
        <w:tc>
          <w:tcPr>
            <w:tcW w:w="4350" w:type="dxa"/>
            <w:shd w:val="clear" w:color="auto" w:fill="FFF2CC"/>
          </w:tcPr>
          <w:p w14:paraId="5D44B215" w14:textId="77777777" w:rsidR="00A27AC2" w:rsidRDefault="009C0578" w:rsidP="00CC5AE7">
            <w:pPr>
              <w:rPr>
                <w:b/>
              </w:rPr>
            </w:pPr>
            <w:r>
              <w:rPr>
                <w:b/>
              </w:rPr>
              <w:t>Main purpose of Legislation</w:t>
            </w:r>
          </w:p>
        </w:tc>
        <w:tc>
          <w:tcPr>
            <w:tcW w:w="5370" w:type="dxa"/>
            <w:shd w:val="clear" w:color="auto" w:fill="FFF2CC"/>
          </w:tcPr>
          <w:p w14:paraId="2F70C1D2" w14:textId="77777777" w:rsidR="00A27AC2" w:rsidRDefault="009C0578" w:rsidP="00CC5AE7">
            <w:pPr>
              <w:rPr>
                <w:b/>
              </w:rPr>
            </w:pPr>
            <w:r>
              <w:rPr>
                <w:b/>
              </w:rPr>
              <w:t>How it applies to this data sharing</w:t>
            </w:r>
          </w:p>
        </w:tc>
      </w:tr>
      <w:tr w:rsidR="00A27AC2" w14:paraId="5A16184B" w14:textId="77777777" w:rsidTr="18324EA3">
        <w:trPr>
          <w:cantSplit/>
        </w:trPr>
        <w:tc>
          <w:tcPr>
            <w:tcW w:w="3015" w:type="dxa"/>
          </w:tcPr>
          <w:p w14:paraId="0A53A290" w14:textId="77777777" w:rsidR="00A27AC2" w:rsidRDefault="009C0578" w:rsidP="00CC5AE7">
            <w:r>
              <w:t>Care Act 2014</w:t>
            </w:r>
          </w:p>
        </w:tc>
        <w:tc>
          <w:tcPr>
            <w:tcW w:w="2415" w:type="dxa"/>
          </w:tcPr>
          <w:p w14:paraId="45901CD8" w14:textId="77777777" w:rsidR="00A27AC2" w:rsidRDefault="009C0578" w:rsidP="00CC5AE7">
            <w:r>
              <w:t>Local authority</w:t>
            </w:r>
          </w:p>
        </w:tc>
        <w:tc>
          <w:tcPr>
            <w:tcW w:w="4350" w:type="dxa"/>
          </w:tcPr>
          <w:p w14:paraId="44AF5C97" w14:textId="77777777" w:rsidR="00A27AC2" w:rsidRDefault="009C0578" w:rsidP="00F236C4">
            <w:pPr>
              <w:numPr>
                <w:ilvl w:val="0"/>
                <w:numId w:val="3"/>
              </w:numPr>
              <w:spacing w:after="0"/>
              <w:ind w:left="566" w:hanging="359"/>
            </w:pPr>
            <w:r>
              <w:t>Promoting individual wellbeing</w:t>
            </w:r>
          </w:p>
          <w:p w14:paraId="167FE9B2" w14:textId="77777777" w:rsidR="00A27AC2" w:rsidRDefault="009C0578" w:rsidP="00F236C4">
            <w:pPr>
              <w:numPr>
                <w:ilvl w:val="0"/>
                <w:numId w:val="3"/>
              </w:numPr>
              <w:spacing w:before="0" w:after="0"/>
              <w:ind w:left="566" w:hanging="359"/>
            </w:pPr>
            <w:r>
              <w:t>Preventing needs for care and support</w:t>
            </w:r>
          </w:p>
          <w:p w14:paraId="4435072A" w14:textId="77777777" w:rsidR="00A27AC2" w:rsidRDefault="009C0578" w:rsidP="00F236C4">
            <w:pPr>
              <w:numPr>
                <w:ilvl w:val="0"/>
                <w:numId w:val="3"/>
              </w:numPr>
              <w:spacing w:before="0" w:after="0"/>
              <w:ind w:left="566" w:hanging="359"/>
            </w:pPr>
            <w:r>
              <w:t>Promoting integration of care and support with health services</w:t>
            </w:r>
          </w:p>
          <w:p w14:paraId="4160A442" w14:textId="77777777" w:rsidR="00A27AC2" w:rsidRDefault="009C0578" w:rsidP="00F236C4">
            <w:pPr>
              <w:numPr>
                <w:ilvl w:val="0"/>
                <w:numId w:val="3"/>
              </w:numPr>
              <w:spacing w:before="0" w:after="0"/>
              <w:ind w:left="566" w:hanging="359"/>
            </w:pPr>
            <w:r>
              <w:t>Providing information and advice</w:t>
            </w:r>
          </w:p>
          <w:p w14:paraId="338A5530" w14:textId="77777777" w:rsidR="00A27AC2" w:rsidRDefault="009C0578" w:rsidP="00F236C4">
            <w:pPr>
              <w:numPr>
                <w:ilvl w:val="0"/>
                <w:numId w:val="3"/>
              </w:numPr>
              <w:spacing w:before="0" w:after="0"/>
              <w:ind w:left="566" w:hanging="359"/>
            </w:pPr>
            <w:r>
              <w:t>Promoting diversity and quality in provision of services</w:t>
            </w:r>
          </w:p>
          <w:p w14:paraId="5CF2EAC7" w14:textId="77777777" w:rsidR="00A27AC2" w:rsidRDefault="009C0578" w:rsidP="00F236C4">
            <w:pPr>
              <w:numPr>
                <w:ilvl w:val="0"/>
                <w:numId w:val="3"/>
              </w:numPr>
              <w:spacing w:before="0" w:after="0"/>
              <w:ind w:left="566" w:hanging="359"/>
            </w:pPr>
            <w:r>
              <w:t>Co-operating</w:t>
            </w:r>
          </w:p>
          <w:p w14:paraId="6E25B40D" w14:textId="77777777" w:rsidR="00A27AC2" w:rsidRDefault="009C0578" w:rsidP="00F236C4">
            <w:pPr>
              <w:numPr>
                <w:ilvl w:val="0"/>
                <w:numId w:val="3"/>
              </w:numPr>
              <w:spacing w:before="0"/>
              <w:ind w:left="566" w:hanging="359"/>
            </w:pPr>
            <w:r>
              <w:t>Safeguarding adults at risk of abuse or neglect</w:t>
            </w:r>
          </w:p>
          <w:p w14:paraId="377935CF" w14:textId="77777777" w:rsidR="00A27AC2" w:rsidRDefault="00A27AC2" w:rsidP="00CC5AE7"/>
          <w:p w14:paraId="40120D02" w14:textId="77777777" w:rsidR="00A27AC2" w:rsidRDefault="00A27AC2" w:rsidP="00CC5AE7"/>
          <w:p w14:paraId="0F89D228" w14:textId="77777777" w:rsidR="00A27AC2" w:rsidRDefault="00A27AC2" w:rsidP="00CC5AE7"/>
        </w:tc>
        <w:tc>
          <w:tcPr>
            <w:tcW w:w="5370" w:type="dxa"/>
          </w:tcPr>
          <w:p w14:paraId="3550067F" w14:textId="77777777" w:rsidR="00A27AC2" w:rsidRDefault="009C0578" w:rsidP="00CC5AE7">
            <w:r>
              <w:t>Sharing data of vulnerable adults to prevent them losing access to telecare devices and emergency services (preventing needs and promoting wellbeing and independence)..</w:t>
            </w:r>
          </w:p>
        </w:tc>
      </w:tr>
      <w:tr w:rsidR="00A27AC2" w14:paraId="31CA39F0" w14:textId="77777777" w:rsidTr="18324EA3">
        <w:trPr>
          <w:cantSplit/>
        </w:trPr>
        <w:tc>
          <w:tcPr>
            <w:tcW w:w="3015" w:type="dxa"/>
          </w:tcPr>
          <w:p w14:paraId="1CAECD24" w14:textId="77777777" w:rsidR="00A27AC2" w:rsidRDefault="009C0578" w:rsidP="00CC5AE7">
            <w:r>
              <w:t>Localism Act 2011</w:t>
            </w:r>
          </w:p>
        </w:tc>
        <w:tc>
          <w:tcPr>
            <w:tcW w:w="2415" w:type="dxa"/>
          </w:tcPr>
          <w:p w14:paraId="79009406" w14:textId="77777777" w:rsidR="00A27AC2" w:rsidRDefault="009C0578" w:rsidP="00CC5AE7">
            <w:r>
              <w:t>Local authority</w:t>
            </w:r>
          </w:p>
        </w:tc>
        <w:tc>
          <w:tcPr>
            <w:tcW w:w="4350" w:type="dxa"/>
          </w:tcPr>
          <w:p w14:paraId="263BA1FE" w14:textId="77777777" w:rsidR="00A27AC2" w:rsidRDefault="009C0578" w:rsidP="00F236C4">
            <w:pPr>
              <w:numPr>
                <w:ilvl w:val="0"/>
                <w:numId w:val="2"/>
              </w:numPr>
            </w:pPr>
            <w:r>
              <w:t>General powers of competence for local authorities</w:t>
            </w:r>
          </w:p>
        </w:tc>
        <w:tc>
          <w:tcPr>
            <w:tcW w:w="5370" w:type="dxa"/>
          </w:tcPr>
          <w:p w14:paraId="58C251D5" w14:textId="77777777" w:rsidR="00A27AC2" w:rsidRDefault="009C0578" w:rsidP="00CC5AE7">
            <w:r>
              <w:t>Taking action (data sharing) to promote the wellbeing of vulnerable individuals.</w:t>
            </w:r>
          </w:p>
        </w:tc>
      </w:tr>
      <w:tr w:rsidR="00A27AC2" w14:paraId="51B55894" w14:textId="77777777" w:rsidTr="18324EA3">
        <w:trPr>
          <w:cantSplit/>
        </w:trPr>
        <w:tc>
          <w:tcPr>
            <w:tcW w:w="3015" w:type="dxa"/>
          </w:tcPr>
          <w:p w14:paraId="361D72B2" w14:textId="77777777" w:rsidR="00A27AC2" w:rsidRDefault="009C0578" w:rsidP="00CC5AE7">
            <w:r>
              <w:lastRenderedPageBreak/>
              <w:t>Public Switched Telephone Network charter</w:t>
            </w:r>
          </w:p>
        </w:tc>
        <w:tc>
          <w:tcPr>
            <w:tcW w:w="2415" w:type="dxa"/>
          </w:tcPr>
          <w:p w14:paraId="22C5ED95" w14:textId="63345401" w:rsidR="00A27AC2" w:rsidRDefault="0071632C" w:rsidP="00CC5AE7">
            <w:r>
              <w:t>Communications provider</w:t>
            </w:r>
          </w:p>
        </w:tc>
        <w:tc>
          <w:tcPr>
            <w:tcW w:w="4350" w:type="dxa"/>
          </w:tcPr>
          <w:p w14:paraId="1E383B95" w14:textId="77777777" w:rsidR="00A27AC2" w:rsidRDefault="009C0578" w:rsidP="00CC5AE7">
            <w:r>
              <w:t>Voluntary charter to ensure proper care is given during the digital switchover to protecting vulnerable individuals using telecare devices.</w:t>
            </w:r>
          </w:p>
          <w:p w14:paraId="6E527D6C" w14:textId="77777777" w:rsidR="00A27AC2" w:rsidRDefault="00A27AC2" w:rsidP="00CC5AE7"/>
          <w:p w14:paraId="6DA27E36" w14:textId="77777777" w:rsidR="00A27AC2" w:rsidRDefault="00A27AC2" w:rsidP="00CC5AE7"/>
          <w:p w14:paraId="0DD0BFB4" w14:textId="77777777" w:rsidR="00A27AC2" w:rsidRDefault="00A27AC2" w:rsidP="00CC5AE7"/>
        </w:tc>
        <w:tc>
          <w:tcPr>
            <w:tcW w:w="5370" w:type="dxa"/>
          </w:tcPr>
          <w:p w14:paraId="1C570707" w14:textId="77777777" w:rsidR="00A27AC2" w:rsidRDefault="009C0578" w:rsidP="00CC5AE7">
            <w:r>
              <w:t>Data needed to better identify customers using telecare devices</w:t>
            </w:r>
          </w:p>
        </w:tc>
      </w:tr>
      <w:tr w:rsidR="00B67347" w14:paraId="2AA2823E" w14:textId="77777777" w:rsidTr="18324EA3">
        <w:trPr>
          <w:cantSplit/>
        </w:trPr>
        <w:tc>
          <w:tcPr>
            <w:tcW w:w="3015" w:type="dxa"/>
          </w:tcPr>
          <w:p w14:paraId="1C3FF933" w14:textId="71460009" w:rsidR="00B67347" w:rsidRDefault="00B67347" w:rsidP="00CC5AE7">
            <w:r>
              <w:t>Ofcom guidance on Treating Vulnerable Customers Fairly (2022).</w:t>
            </w:r>
          </w:p>
        </w:tc>
        <w:tc>
          <w:tcPr>
            <w:tcW w:w="2415" w:type="dxa"/>
          </w:tcPr>
          <w:p w14:paraId="5D47DDDC" w14:textId="0156133C" w:rsidR="00B67347" w:rsidRDefault="00B67347" w:rsidP="00CC5AE7">
            <w:r>
              <w:t>Communications provider</w:t>
            </w:r>
          </w:p>
        </w:tc>
        <w:tc>
          <w:tcPr>
            <w:tcW w:w="4350" w:type="dxa"/>
          </w:tcPr>
          <w:p w14:paraId="291733F0" w14:textId="615BBC80" w:rsidR="00B67347" w:rsidRDefault="00AA402F" w:rsidP="00CC5AE7">
            <w:r>
              <w:t>Guidance on how CPs are expected to support vulnerable clients.</w:t>
            </w:r>
          </w:p>
        </w:tc>
        <w:tc>
          <w:tcPr>
            <w:tcW w:w="5370" w:type="dxa"/>
          </w:tcPr>
          <w:p w14:paraId="7A30510E" w14:textId="5381CBDB" w:rsidR="00B67347" w:rsidRDefault="00AA402F" w:rsidP="00CC5AE7">
            <w:r>
              <w:t>Data needed to identify vulnerable customers so support can be provided.</w:t>
            </w:r>
          </w:p>
        </w:tc>
      </w:tr>
    </w:tbl>
    <w:p w14:paraId="234F4EE8" w14:textId="658F581D" w:rsidR="18324EA3" w:rsidRDefault="18324EA3" w:rsidP="18324EA3">
      <w:pPr>
        <w:pStyle w:val="Heading2"/>
        <w:ind w:left="0" w:firstLine="0"/>
      </w:pPr>
    </w:p>
    <w:p w14:paraId="77674F65" w14:textId="06F9171D" w:rsidR="00A27AC2" w:rsidRDefault="42F5289A" w:rsidP="18324EA3">
      <w:pPr>
        <w:pStyle w:val="Heading2"/>
        <w:ind w:left="-540" w:firstLine="0"/>
      </w:pPr>
      <w:bookmarkStart w:id="101" w:name="_Toc168982278"/>
      <w:r>
        <w:t xml:space="preserve">5.3 </w:t>
      </w:r>
      <w:r w:rsidR="009C0578">
        <w:t>Appendix C: Defence for sharing data</w:t>
      </w:r>
      <w:bookmarkEnd w:id="101"/>
    </w:p>
    <w:p w14:paraId="515DD691" w14:textId="77777777" w:rsidR="00A27AC2" w:rsidRDefault="009C0578" w:rsidP="00CC5AE7">
      <w:pPr>
        <w:ind w:left="-566"/>
      </w:pPr>
      <w:r>
        <w:t>There are legal safeguards which support a defence for sharing data, where the Data Controller believed it was:</w:t>
      </w:r>
    </w:p>
    <w:p w14:paraId="17FD62B4" w14:textId="77777777" w:rsidR="00A27AC2" w:rsidRDefault="009C0578" w:rsidP="00F236C4">
      <w:pPr>
        <w:numPr>
          <w:ilvl w:val="0"/>
          <w:numId w:val="4"/>
        </w:numPr>
        <w:ind w:left="141" w:hanging="359"/>
      </w:pPr>
      <w:r>
        <w:t>necessary for the purposes of preventing or detecting crime</w:t>
      </w:r>
    </w:p>
    <w:p w14:paraId="6EC047B0" w14:textId="77777777" w:rsidR="00A27AC2" w:rsidRDefault="009C0578" w:rsidP="00F236C4">
      <w:pPr>
        <w:numPr>
          <w:ilvl w:val="0"/>
          <w:numId w:val="4"/>
        </w:numPr>
        <w:ind w:left="141" w:hanging="359"/>
      </w:pPr>
      <w:r>
        <w:t>required or authorised by an enactment, by a rule of law or by the order of a court or tribunal</w:t>
      </w:r>
    </w:p>
    <w:p w14:paraId="618B22E5" w14:textId="77777777" w:rsidR="00A27AC2" w:rsidRDefault="009C0578" w:rsidP="00F236C4">
      <w:pPr>
        <w:numPr>
          <w:ilvl w:val="0"/>
          <w:numId w:val="4"/>
        </w:numPr>
        <w:ind w:left="141" w:hanging="359"/>
      </w:pPr>
      <w:r>
        <w:t>in the particular circumstances, was justified as being in the public interest.</w:t>
      </w:r>
    </w:p>
    <w:p w14:paraId="31C6A40D" w14:textId="77777777" w:rsidR="00A27AC2" w:rsidRDefault="009C0578" w:rsidP="00CC5AE7">
      <w:pPr>
        <w:ind w:left="-566"/>
      </w:pPr>
      <w:r>
        <w:t>Or that they acted in the reasonable belief that:</w:t>
      </w:r>
    </w:p>
    <w:p w14:paraId="2C90600A" w14:textId="77777777" w:rsidR="00A27AC2" w:rsidRDefault="009C0578" w:rsidP="00F236C4">
      <w:pPr>
        <w:numPr>
          <w:ilvl w:val="0"/>
          <w:numId w:val="4"/>
        </w:numPr>
        <w:ind w:left="141" w:hanging="359"/>
      </w:pPr>
      <w:r>
        <w:t>the person had a legal right to do the obtaining, disclosing, procuring or retaining</w:t>
      </w:r>
    </w:p>
    <w:p w14:paraId="39C126E4" w14:textId="77777777" w:rsidR="00A27AC2" w:rsidRDefault="009C0578" w:rsidP="00F236C4">
      <w:pPr>
        <w:numPr>
          <w:ilvl w:val="0"/>
          <w:numId w:val="4"/>
        </w:numPr>
        <w:ind w:left="141" w:hanging="359"/>
      </w:pPr>
      <w:r>
        <w:t>the person would have had the consent of the controller if the controller had known about the obtaining, disclosing, procuring or retaining and the circumstances of it, or</w:t>
      </w:r>
    </w:p>
    <w:p w14:paraId="41FDC8B4" w14:textId="77777777" w:rsidR="00A27AC2" w:rsidRDefault="009C0578" w:rsidP="00F236C4">
      <w:pPr>
        <w:numPr>
          <w:ilvl w:val="0"/>
          <w:numId w:val="4"/>
        </w:numPr>
        <w:ind w:left="141" w:hanging="359"/>
      </w:pPr>
      <w:r>
        <w:t>the person acted—</w:t>
      </w:r>
    </w:p>
    <w:p w14:paraId="40096CFE" w14:textId="77777777" w:rsidR="00A27AC2" w:rsidRDefault="009C0578" w:rsidP="00CC5AE7">
      <w:pPr>
        <w:ind w:left="425"/>
      </w:pPr>
      <w:r>
        <w:t>(</w:t>
      </w:r>
      <w:proofErr w:type="spellStart"/>
      <w:r>
        <w:t>i</w:t>
      </w:r>
      <w:proofErr w:type="spellEnd"/>
      <w:r>
        <w:t>) for the special purposes,</w:t>
      </w:r>
    </w:p>
    <w:p w14:paraId="44A730AD" w14:textId="77777777" w:rsidR="00A27AC2" w:rsidRDefault="009C0578" w:rsidP="00CC5AE7">
      <w:pPr>
        <w:ind w:left="425"/>
      </w:pPr>
      <w:r>
        <w:t>(ii) with a view to the publication by a person of any journalistic, academic, artistic or literary material, and</w:t>
      </w:r>
    </w:p>
    <w:p w14:paraId="5D0345F8" w14:textId="77777777" w:rsidR="00A27AC2" w:rsidRDefault="009C0578" w:rsidP="00CC5AE7">
      <w:pPr>
        <w:ind w:left="425"/>
      </w:pPr>
      <w:r>
        <w:lastRenderedPageBreak/>
        <w:t>(iii) in the reasonable belief that in the particular circumstances the obtaining, disclosing, procuring or retaining was justified as being in the public interest</w:t>
      </w:r>
    </w:p>
    <w:p w14:paraId="61A0353A" w14:textId="77777777" w:rsidR="00A27AC2" w:rsidRDefault="00A27AC2" w:rsidP="00CC5AE7"/>
    <w:p w14:paraId="5A26CEC1" w14:textId="77777777" w:rsidR="00A27AC2" w:rsidRDefault="009C0578" w:rsidP="00CC5AE7">
      <w:pPr>
        <w:ind w:left="-566"/>
      </w:pPr>
      <w:r>
        <w:t>To enable the Data Controller to account for decisions made, professionals sharing data must record:</w:t>
      </w:r>
    </w:p>
    <w:p w14:paraId="1DD6B668" w14:textId="77777777" w:rsidR="00A27AC2" w:rsidRDefault="009C0578" w:rsidP="00F236C4">
      <w:pPr>
        <w:numPr>
          <w:ilvl w:val="0"/>
          <w:numId w:val="5"/>
        </w:numPr>
        <w:ind w:left="141" w:hanging="359"/>
      </w:pPr>
      <w:r>
        <w:t>the decision to share or not to share</w:t>
      </w:r>
    </w:p>
    <w:p w14:paraId="512063A9" w14:textId="77777777" w:rsidR="00A27AC2" w:rsidRDefault="009C0578" w:rsidP="00F236C4">
      <w:pPr>
        <w:numPr>
          <w:ilvl w:val="0"/>
          <w:numId w:val="5"/>
        </w:numPr>
        <w:ind w:left="141" w:hanging="359"/>
      </w:pPr>
      <w:r>
        <w:t>the lawful basis for sharing</w:t>
      </w:r>
    </w:p>
    <w:p w14:paraId="629C26DB" w14:textId="77777777" w:rsidR="00A27AC2" w:rsidRDefault="009C0578" w:rsidP="00F236C4">
      <w:pPr>
        <w:numPr>
          <w:ilvl w:val="0"/>
          <w:numId w:val="5"/>
        </w:numPr>
        <w:ind w:left="141" w:hanging="359"/>
      </w:pPr>
      <w:r>
        <w:t>with whom the information was shared</w:t>
      </w:r>
    </w:p>
    <w:p w14:paraId="0BE09241" w14:textId="11580BD0" w:rsidR="18324EA3" w:rsidRDefault="18324EA3" w:rsidP="18324EA3">
      <w:pPr>
        <w:pStyle w:val="Heading2"/>
        <w:ind w:left="0" w:hanging="540"/>
      </w:pPr>
    </w:p>
    <w:p w14:paraId="5191C628" w14:textId="0D84D3D4" w:rsidR="00A27AC2" w:rsidRDefault="433D43B1" w:rsidP="18324EA3">
      <w:pPr>
        <w:pStyle w:val="Heading2"/>
        <w:ind w:left="0" w:hanging="540"/>
      </w:pPr>
      <w:bookmarkStart w:id="102" w:name="_Toc168982279"/>
      <w:r>
        <w:t xml:space="preserve">5.4 </w:t>
      </w:r>
      <w:r w:rsidR="009C0578">
        <w:t>Appendix D: Security of data</w:t>
      </w:r>
      <w:bookmarkEnd w:id="102"/>
    </w:p>
    <w:p w14:paraId="606BC7DE" w14:textId="77777777" w:rsidR="00A27AC2" w:rsidRDefault="009C0578" w:rsidP="00CC5AE7">
      <w:pPr>
        <w:ind w:left="141" w:hanging="720"/>
      </w:pPr>
      <w:r>
        <w:t>The following are standards for security of data.</w:t>
      </w:r>
    </w:p>
    <w:p w14:paraId="21DF7999" w14:textId="77777777" w:rsidR="00A27AC2" w:rsidRPr="00922DE2" w:rsidRDefault="009C0578" w:rsidP="00CC5AE7">
      <w:pPr>
        <w:pStyle w:val="Heading3"/>
        <w:ind w:left="0" w:hanging="567"/>
        <w:rPr>
          <w:color w:val="auto"/>
          <w:sz w:val="22"/>
          <w:szCs w:val="22"/>
        </w:rPr>
      </w:pPr>
      <w:bookmarkStart w:id="103" w:name="_Toc168411326"/>
      <w:bookmarkStart w:id="104" w:name="_Toc168982280"/>
      <w:r w:rsidRPr="00922DE2">
        <w:rPr>
          <w:color w:val="auto"/>
          <w:sz w:val="22"/>
          <w:szCs w:val="22"/>
        </w:rPr>
        <w:t>Electronic records</w:t>
      </w:r>
      <w:bookmarkEnd w:id="103"/>
      <w:bookmarkEnd w:id="104"/>
    </w:p>
    <w:p w14:paraId="1548B648" w14:textId="77777777" w:rsidR="00A27AC2" w:rsidRDefault="009C0578" w:rsidP="00CC5AE7">
      <w:pPr>
        <w:spacing w:before="0" w:line="276" w:lineRule="auto"/>
        <w:ind w:left="-566"/>
      </w:pPr>
      <w:r>
        <w:t>All personal data held electronically will be stored in a secure area with password protected entry, audit records, and appropriate back-up functionality. All laptops, computers, and any other portable devices will be encrypted. Access will immediately be removed where an individual no longer needs it. Parties must ensure the chosen transfer method is suitably secure and that access is only provided to those who need it. Unencrypted email (i.e. sent in plain text over the public internet) must not be used to share information under this DSA. Sharing methods that may be appropriate include:</w:t>
      </w:r>
    </w:p>
    <w:p w14:paraId="21859783" w14:textId="77777777" w:rsidR="00A27AC2" w:rsidRDefault="009C0578" w:rsidP="00F236C4">
      <w:pPr>
        <w:numPr>
          <w:ilvl w:val="0"/>
          <w:numId w:val="6"/>
        </w:numPr>
        <w:spacing w:after="0"/>
        <w:ind w:left="141" w:hanging="359"/>
      </w:pPr>
      <w:r>
        <w:t>Email encryption tools where the email and attachments are encrypted from named sender to named recipient.</w:t>
      </w:r>
    </w:p>
    <w:p w14:paraId="1D124EA4" w14:textId="3B848B9A" w:rsidR="00A27AC2" w:rsidRDefault="009C0578" w:rsidP="00F236C4">
      <w:pPr>
        <w:numPr>
          <w:ilvl w:val="0"/>
          <w:numId w:val="6"/>
        </w:numPr>
        <w:spacing w:before="0" w:after="0"/>
        <w:ind w:left="141" w:hanging="359"/>
      </w:pPr>
      <w:r>
        <w:t xml:space="preserve">Encryption via Transport Layer Security (TLS) where the email and attachments are encrypted in transit over the internet. Both the sender and recipient email domains must have TLS enabled. This can be checked using </w:t>
      </w:r>
      <w:hyperlink r:id="rId18" w:history="1">
        <w:r w:rsidR="007A6CBE" w:rsidRPr="007A6CBE">
          <w:rPr>
            <w:rStyle w:val="Hyperlink"/>
          </w:rPr>
          <w:t xml:space="preserve">the </w:t>
        </w:r>
        <w:proofErr w:type="spellStart"/>
        <w:r w:rsidR="007A6CBE" w:rsidRPr="007A6CBE">
          <w:rPr>
            <w:rStyle w:val="Hyperlink"/>
          </w:rPr>
          <w:t>CheckTLS</w:t>
        </w:r>
        <w:proofErr w:type="spellEnd"/>
        <w:r w:rsidR="007A6CBE" w:rsidRPr="007A6CBE">
          <w:rPr>
            <w:rStyle w:val="Hyperlink"/>
          </w:rPr>
          <w:t xml:space="preserve"> website</w:t>
        </w:r>
      </w:hyperlink>
    </w:p>
    <w:p w14:paraId="625F9915" w14:textId="77777777" w:rsidR="00A27AC2" w:rsidRDefault="009C0578" w:rsidP="00F236C4">
      <w:pPr>
        <w:numPr>
          <w:ilvl w:val="0"/>
          <w:numId w:val="6"/>
        </w:numPr>
        <w:spacing w:before="0" w:after="0"/>
        <w:ind w:left="141" w:hanging="359"/>
      </w:pPr>
      <w:r>
        <w:t>Secure corporately managed data repository and sharing platforms (e.g. MS Teams; Google Docs)</w:t>
      </w:r>
    </w:p>
    <w:p w14:paraId="08809A9E" w14:textId="20E0FA41" w:rsidR="00A27AC2" w:rsidRDefault="009C0578" w:rsidP="00F236C4">
      <w:pPr>
        <w:numPr>
          <w:ilvl w:val="0"/>
          <w:numId w:val="6"/>
        </w:numPr>
        <w:spacing w:before="0" w:after="0"/>
        <w:ind w:left="141" w:hanging="359"/>
      </w:pPr>
      <w:r>
        <w:t>Secure group email services (</w:t>
      </w:r>
      <w:proofErr w:type="spellStart"/>
      <w:r>
        <w:t>eg</w:t>
      </w:r>
      <w:proofErr w:type="spellEnd"/>
      <w:r w:rsidR="00ED70F7">
        <w:t xml:space="preserve"> </w:t>
      </w:r>
      <w:hyperlink r:id="rId19" w:history="1">
        <w:r w:rsidR="00ED70F7" w:rsidRPr="00F40832">
          <w:rPr>
            <w:rStyle w:val="Hyperlink"/>
          </w:rPr>
          <w:t xml:space="preserve">Criminal Justice Secure </w:t>
        </w:r>
        <w:proofErr w:type="spellStart"/>
        <w:r w:rsidR="00ED70F7" w:rsidRPr="00F40832">
          <w:rPr>
            <w:rStyle w:val="Hyperlink"/>
          </w:rPr>
          <w:t>eMail</w:t>
        </w:r>
        <w:proofErr w:type="spellEnd"/>
      </w:hyperlink>
      <w:r>
        <w:t>)</w:t>
      </w:r>
    </w:p>
    <w:p w14:paraId="48B846A9" w14:textId="77777777" w:rsidR="00A27AC2" w:rsidRDefault="009C0578" w:rsidP="00F236C4">
      <w:pPr>
        <w:numPr>
          <w:ilvl w:val="0"/>
          <w:numId w:val="6"/>
        </w:numPr>
        <w:spacing w:before="0" w:after="0"/>
        <w:ind w:left="141" w:hanging="359"/>
      </w:pPr>
      <w:r>
        <w:t>Secure File Transfer Protocols</w:t>
      </w:r>
    </w:p>
    <w:p w14:paraId="607BA220" w14:textId="77777777" w:rsidR="00A27AC2" w:rsidRDefault="009C0578" w:rsidP="00F236C4">
      <w:pPr>
        <w:numPr>
          <w:ilvl w:val="0"/>
          <w:numId w:val="6"/>
        </w:numPr>
        <w:spacing w:before="0"/>
        <w:ind w:left="141" w:hanging="359"/>
      </w:pPr>
      <w:r>
        <w:t>Virtual Private Networks</w:t>
      </w:r>
    </w:p>
    <w:p w14:paraId="02079293" w14:textId="77777777" w:rsidR="00A27AC2" w:rsidRDefault="009C0578" w:rsidP="00CC5AE7">
      <w:pPr>
        <w:ind w:left="-566"/>
      </w:pPr>
      <w:r>
        <w:t>The above are examples, get advice from your organisation’s information security or IT teams on secure methods of sharing available at your organisation and document these in the organisation’s process documents.</w:t>
      </w:r>
    </w:p>
    <w:p w14:paraId="778EC8EC" w14:textId="77777777" w:rsidR="00A27AC2" w:rsidRPr="00922DE2" w:rsidRDefault="009C0578" w:rsidP="00CC5AE7">
      <w:pPr>
        <w:pStyle w:val="Heading3"/>
        <w:ind w:hanging="1287"/>
        <w:rPr>
          <w:color w:val="auto"/>
          <w:sz w:val="22"/>
          <w:szCs w:val="22"/>
        </w:rPr>
      </w:pPr>
      <w:bookmarkStart w:id="105" w:name="_Toc168411327"/>
      <w:bookmarkStart w:id="106" w:name="_Toc168982281"/>
      <w:r w:rsidRPr="00922DE2">
        <w:rPr>
          <w:color w:val="auto"/>
          <w:sz w:val="22"/>
          <w:szCs w:val="22"/>
        </w:rPr>
        <w:t>Phone/virtual meetings/face-to-face meetings</w:t>
      </w:r>
      <w:bookmarkEnd w:id="105"/>
      <w:bookmarkEnd w:id="106"/>
    </w:p>
    <w:p w14:paraId="3BBEF66E" w14:textId="77777777" w:rsidR="00A27AC2" w:rsidRDefault="009C0578" w:rsidP="00CC5AE7">
      <w:pPr>
        <w:ind w:left="-566"/>
      </w:pPr>
      <w:r>
        <w:t xml:space="preserve">Information may be shared over the phone, in a virtual meeting, or at face to face meetings. Meeting attendance and distribution of content, </w:t>
      </w:r>
      <w:proofErr w:type="spellStart"/>
      <w:r>
        <w:t>eg</w:t>
      </w:r>
      <w:proofErr w:type="spellEnd"/>
      <w:r>
        <w:t xml:space="preserve"> meeting minutes or recordings, must be limited to those with a need to know. Sharing by telephone should be avoided unless the requirement is urgent and email is not practicable. </w:t>
      </w:r>
    </w:p>
    <w:p w14:paraId="2800ABB6" w14:textId="77777777" w:rsidR="00A27AC2" w:rsidRDefault="009C0578" w:rsidP="00CC5AE7">
      <w:pPr>
        <w:ind w:left="-566"/>
      </w:pPr>
      <w:r>
        <w:lastRenderedPageBreak/>
        <w:t>Individuals should be aware of their surroundings and the presence of other individuals or voice recognition or ‘Internet of Things’ devices (</w:t>
      </w:r>
      <w:proofErr w:type="spellStart"/>
      <w:r>
        <w:t>eg</w:t>
      </w:r>
      <w:proofErr w:type="spellEnd"/>
      <w:r>
        <w:t xml:space="preserve"> virtual assistant apps like Alexa, Cortana, SIRI) to ensure they aren’t overheard by those that should not have access to the information discussed.</w:t>
      </w:r>
    </w:p>
    <w:p w14:paraId="3CC81F1D" w14:textId="77777777" w:rsidR="00A27AC2" w:rsidRPr="00922DE2" w:rsidRDefault="009C0578" w:rsidP="00CC5AE7">
      <w:pPr>
        <w:pStyle w:val="Heading3"/>
        <w:ind w:left="0" w:hanging="567"/>
        <w:rPr>
          <w:color w:val="auto"/>
          <w:sz w:val="22"/>
          <w:szCs w:val="22"/>
        </w:rPr>
      </w:pPr>
      <w:bookmarkStart w:id="107" w:name="_Toc168411328"/>
      <w:bookmarkStart w:id="108" w:name="_Toc168982282"/>
      <w:r w:rsidRPr="00922DE2">
        <w:rPr>
          <w:color w:val="auto"/>
          <w:sz w:val="22"/>
          <w:szCs w:val="22"/>
        </w:rPr>
        <w:t>Paper records</w:t>
      </w:r>
      <w:bookmarkEnd w:id="107"/>
      <w:bookmarkEnd w:id="108"/>
    </w:p>
    <w:p w14:paraId="645E65A3" w14:textId="77777777" w:rsidR="00A27AC2" w:rsidRDefault="009C0578" w:rsidP="00CC5AE7">
      <w:pPr>
        <w:ind w:left="-566"/>
      </w:pPr>
      <w:r>
        <w:t xml:space="preserve">Paper records must be minimised and kept secure whether in the office, home or during transit. Organisations must adopt an appropriate policy for the use, transfer and disposal of paper records. </w:t>
      </w:r>
    </w:p>
    <w:p w14:paraId="4C114F89" w14:textId="1498F6CB" w:rsidR="18324EA3" w:rsidRDefault="18324EA3" w:rsidP="18324EA3">
      <w:pPr>
        <w:pStyle w:val="Heading2"/>
        <w:ind w:left="-566" w:firstLine="0"/>
      </w:pPr>
    </w:p>
    <w:p w14:paraId="5D83B835" w14:textId="2E35D2E9" w:rsidR="00A27AC2" w:rsidRDefault="42B19E0B" w:rsidP="18324EA3">
      <w:pPr>
        <w:pStyle w:val="Heading2"/>
        <w:ind w:left="-566" w:firstLine="0"/>
      </w:pPr>
      <w:bookmarkStart w:id="109" w:name="_Toc168982283"/>
      <w:r>
        <w:t xml:space="preserve">5.5 </w:t>
      </w:r>
      <w:r w:rsidR="009C0578">
        <w:t>Appendix E: Public Switched Telephone Network charter</w:t>
      </w:r>
      <w:bookmarkEnd w:id="109"/>
    </w:p>
    <w:p w14:paraId="213EBBE5" w14:textId="77777777" w:rsidR="00A27AC2" w:rsidRDefault="00A27AC2" w:rsidP="00CC5AE7">
      <w:pPr>
        <w:ind w:left="720"/>
      </w:pPr>
    </w:p>
    <w:p w14:paraId="6A5E3C86" w14:textId="767BFC59" w:rsidR="00A27AC2" w:rsidRDefault="009C0578" w:rsidP="00CC5AE7">
      <w:pPr>
        <w:spacing w:before="0" w:after="0" w:line="276" w:lineRule="auto"/>
        <w:ind w:left="-425"/>
      </w:pPr>
      <w:r>
        <w:t xml:space="preserve">The government met with </w:t>
      </w:r>
      <w:r w:rsidR="0071632C">
        <w:t>communication</w:t>
      </w:r>
      <w:r>
        <w:t xml:space="preserve">s companies in December 2023 to </w:t>
      </w:r>
      <w:hyperlink r:id="rId20" w:history="1">
        <w:r w:rsidRPr="00D230BA">
          <w:rPr>
            <w:rStyle w:val="Hyperlink"/>
          </w:rPr>
          <w:t>address some incidents affecting vulnerable customers during the digital switchover</w:t>
        </w:r>
      </w:hyperlink>
      <w:r>
        <w:t>.</w:t>
      </w:r>
      <w:r w:rsidR="00D230BA">
        <w:t xml:space="preserve"> </w:t>
      </w:r>
    </w:p>
    <w:p w14:paraId="3C44DE2F" w14:textId="77777777" w:rsidR="00A27AC2" w:rsidRDefault="00A27AC2" w:rsidP="00CC5AE7">
      <w:pPr>
        <w:spacing w:before="0" w:after="0" w:line="276" w:lineRule="auto"/>
        <w:ind w:left="-425"/>
      </w:pPr>
    </w:p>
    <w:p w14:paraId="390C946E" w14:textId="6B7C4128" w:rsidR="00A27AC2" w:rsidRDefault="009C0578" w:rsidP="00CC5AE7">
      <w:pPr>
        <w:spacing w:before="0" w:after="0" w:line="276" w:lineRule="auto"/>
        <w:ind w:left="-425"/>
      </w:pPr>
      <w:r>
        <w:t xml:space="preserve">Leading telecoms providers agreed to a </w:t>
      </w:r>
      <w:hyperlink r:id="rId21" w:history="1">
        <w:r w:rsidRPr="00D230BA">
          <w:rPr>
            <w:rStyle w:val="Hyperlink"/>
          </w:rPr>
          <w:t>charter to protect vulnerable clients</w:t>
        </w:r>
      </w:hyperlink>
      <w:r>
        <w:t>.</w:t>
      </w:r>
    </w:p>
    <w:p w14:paraId="59AC8BEC" w14:textId="77777777" w:rsidR="00A27AC2" w:rsidRDefault="00A27AC2" w:rsidP="00CC5AE7">
      <w:pPr>
        <w:spacing w:before="0" w:after="0" w:line="276" w:lineRule="auto"/>
      </w:pPr>
    </w:p>
    <w:p w14:paraId="4B80B599" w14:textId="77777777" w:rsidR="00A27AC2" w:rsidRDefault="009C0578" w:rsidP="00CC5AE7">
      <w:pPr>
        <w:spacing w:before="0" w:after="0" w:line="276" w:lineRule="auto"/>
        <w:ind w:left="-425"/>
      </w:pPr>
      <w:r>
        <w:t>We, as Communications Providers, commit to the following:</w:t>
      </w:r>
    </w:p>
    <w:p w14:paraId="23C398C2" w14:textId="77777777" w:rsidR="00A27AC2" w:rsidRDefault="00A27AC2" w:rsidP="00CC5AE7">
      <w:pPr>
        <w:spacing w:before="0" w:after="0" w:line="276" w:lineRule="auto"/>
        <w:ind w:left="-425"/>
      </w:pPr>
    </w:p>
    <w:p w14:paraId="21C80CB7" w14:textId="77777777" w:rsidR="00A27AC2" w:rsidRDefault="009C0578" w:rsidP="00CC5AE7">
      <w:pPr>
        <w:spacing w:before="0" w:after="0" w:line="276" w:lineRule="auto"/>
        <w:ind w:left="-425"/>
      </w:pPr>
      <w:r>
        <w:t>1. We will not undertake any non-voluntary migrations to digital landlines, until we have full confidence that we are taking all possible steps to protect vulnerable people through the migration process.</w:t>
      </w:r>
    </w:p>
    <w:p w14:paraId="129C91D7" w14:textId="77777777" w:rsidR="00A27AC2" w:rsidRDefault="00A27AC2" w:rsidP="00CC5AE7">
      <w:pPr>
        <w:spacing w:before="0" w:after="0" w:line="276" w:lineRule="auto"/>
        <w:ind w:left="-425"/>
      </w:pPr>
    </w:p>
    <w:p w14:paraId="1B9391EA" w14:textId="77777777" w:rsidR="00A27AC2" w:rsidRDefault="009C0578" w:rsidP="00CC5AE7">
      <w:pPr>
        <w:spacing w:before="0" w:after="0" w:line="276" w:lineRule="auto"/>
        <w:ind w:left="-425"/>
      </w:pPr>
      <w:r>
        <w:t>2. No telecare users will be migrated to digital landline services without us, the customer, or the telecare company confirming that they have a compatible and functioning telecare solution in place.</w:t>
      </w:r>
    </w:p>
    <w:p w14:paraId="07518951" w14:textId="77777777" w:rsidR="00A27AC2" w:rsidRDefault="00A27AC2" w:rsidP="00CC5AE7">
      <w:pPr>
        <w:spacing w:before="0" w:after="0" w:line="276" w:lineRule="auto"/>
        <w:ind w:left="-425"/>
      </w:pPr>
    </w:p>
    <w:p w14:paraId="5E0D8A97" w14:textId="77777777" w:rsidR="00A27AC2" w:rsidRDefault="009C0578" w:rsidP="00CC5AE7">
      <w:pPr>
        <w:spacing w:before="0" w:after="0" w:line="276" w:lineRule="auto"/>
        <w:ind w:left="-425"/>
      </w:pPr>
      <w:r>
        <w:t>3. Where battery back-up solutions are provided, we will work to provide solutions that go beyond the Ofcom minimum of 1 hour of continued, uninterrupted access to emergency services in the event of a power outage.</w:t>
      </w:r>
    </w:p>
    <w:p w14:paraId="488ABC77" w14:textId="77777777" w:rsidR="00A27AC2" w:rsidRDefault="00A27AC2" w:rsidP="00CC5AE7">
      <w:pPr>
        <w:spacing w:before="0" w:after="0" w:line="276" w:lineRule="auto"/>
        <w:ind w:left="-425"/>
      </w:pPr>
    </w:p>
    <w:p w14:paraId="0D6CF381" w14:textId="77777777" w:rsidR="00A27AC2" w:rsidRDefault="009C0578" w:rsidP="00CC5AE7">
      <w:pPr>
        <w:spacing w:before="0" w:after="0" w:line="276" w:lineRule="auto"/>
        <w:ind w:left="-425"/>
      </w:pPr>
      <w:r>
        <w:t>4. We will collectively work with Ofcom and Government to create a shared definition of ‘vulnerable’ customer groups that require greater support, specific to the digital landline migration.</w:t>
      </w:r>
    </w:p>
    <w:p w14:paraId="27C66046" w14:textId="77777777" w:rsidR="00A27AC2" w:rsidRDefault="00A27AC2" w:rsidP="00CC5AE7">
      <w:pPr>
        <w:spacing w:before="0" w:after="0" w:line="276" w:lineRule="auto"/>
        <w:ind w:left="-425"/>
        <w:rPr>
          <w:sz w:val="24"/>
          <w:szCs w:val="24"/>
        </w:rPr>
      </w:pPr>
    </w:p>
    <w:p w14:paraId="0068310E" w14:textId="77777777" w:rsidR="00A27AC2" w:rsidRDefault="009C0578" w:rsidP="00CC5AE7">
      <w:pPr>
        <w:spacing w:before="0" w:after="0" w:line="276" w:lineRule="auto"/>
        <w:ind w:left="-425"/>
      </w:pPr>
      <w:r>
        <w:t>5. We will conduct additional checks on customers who have already been non-voluntarily migrated to ensure they do not have telecare devices we were unaware of, and if they do, ensure suitable support is provided.</w:t>
      </w:r>
    </w:p>
    <w:p w14:paraId="382E8E79" w14:textId="77777777" w:rsidR="00A27AC2" w:rsidRDefault="00A27AC2" w:rsidP="00CC5AE7">
      <w:pPr>
        <w:spacing w:before="0" w:after="0" w:line="276" w:lineRule="auto"/>
        <w:ind w:left="-425"/>
      </w:pPr>
    </w:p>
    <w:p w14:paraId="62B108A5" w14:textId="77777777" w:rsidR="00D230BA" w:rsidRDefault="00D230BA" w:rsidP="00CC5AE7">
      <w:pPr>
        <w:rPr>
          <w:b/>
        </w:rPr>
      </w:pPr>
      <w:bookmarkStart w:id="110" w:name="_Toc168411330"/>
      <w:r>
        <w:br w:type="page"/>
      </w:r>
    </w:p>
    <w:p w14:paraId="6D1C8E20" w14:textId="18DC9E49" w:rsidR="00A27AC2" w:rsidRPr="00FA24C0" w:rsidRDefault="009C0578" w:rsidP="00CC5AE7">
      <w:pPr>
        <w:pStyle w:val="Heading3"/>
        <w:ind w:left="0" w:hanging="426"/>
        <w:rPr>
          <w:color w:val="auto"/>
          <w:sz w:val="22"/>
          <w:szCs w:val="22"/>
        </w:rPr>
      </w:pPr>
      <w:bookmarkStart w:id="111" w:name="_Toc168982284"/>
      <w:r w:rsidRPr="00FA24C0">
        <w:rPr>
          <w:color w:val="auto"/>
          <w:sz w:val="22"/>
          <w:szCs w:val="22"/>
        </w:rPr>
        <w:lastRenderedPageBreak/>
        <w:t>List of signatories</w:t>
      </w:r>
      <w:bookmarkEnd w:id="110"/>
      <w:bookmarkEnd w:id="111"/>
    </w:p>
    <w:p w14:paraId="7B854580" w14:textId="6E686665" w:rsidR="00A27AC2" w:rsidRPr="00E055EF" w:rsidRDefault="009C0578" w:rsidP="00CC5AE7">
      <w:pPr>
        <w:numPr>
          <w:ilvl w:val="0"/>
          <w:numId w:val="1"/>
        </w:numPr>
        <w:spacing w:before="300" w:after="0" w:line="315" w:lineRule="auto"/>
        <w:ind w:left="1020"/>
      </w:pPr>
      <w:r w:rsidRPr="00E055EF">
        <w:rPr>
          <w:color w:val="0B0C0C"/>
        </w:rPr>
        <w:t>BT</w:t>
      </w:r>
      <w:r w:rsidR="00E055EF" w:rsidRPr="00E055EF">
        <w:rPr>
          <w:color w:val="0B0C0C"/>
        </w:rPr>
        <w:t xml:space="preserve"> (</w:t>
      </w:r>
      <w:proofErr w:type="spellStart"/>
      <w:r w:rsidR="00E055EF" w:rsidRPr="00E055EF">
        <w:rPr>
          <w:color w:val="0B0C0C"/>
        </w:rPr>
        <w:t>incl</w:t>
      </w:r>
      <w:proofErr w:type="spellEnd"/>
      <w:r w:rsidR="00E055EF" w:rsidRPr="00E055EF">
        <w:rPr>
          <w:color w:val="0B0C0C"/>
        </w:rPr>
        <w:t xml:space="preserve"> EE Ltd and </w:t>
      </w:r>
      <w:proofErr w:type="spellStart"/>
      <w:r w:rsidR="00E055EF">
        <w:rPr>
          <w:color w:val="0B0C0C"/>
        </w:rPr>
        <w:t>Plusnet</w:t>
      </w:r>
      <w:proofErr w:type="spellEnd"/>
      <w:r w:rsidR="00E055EF">
        <w:rPr>
          <w:color w:val="0B0C0C"/>
        </w:rPr>
        <w:t xml:space="preserve"> Plc)</w:t>
      </w:r>
    </w:p>
    <w:p w14:paraId="42C844A6" w14:textId="77777777" w:rsidR="00A27AC2" w:rsidRDefault="009C0578" w:rsidP="00CC5AE7">
      <w:pPr>
        <w:numPr>
          <w:ilvl w:val="0"/>
          <w:numId w:val="1"/>
        </w:numPr>
        <w:spacing w:before="0" w:after="0" w:line="315" w:lineRule="auto"/>
        <w:ind w:left="1020"/>
      </w:pPr>
      <w:r>
        <w:rPr>
          <w:color w:val="0B0C0C"/>
        </w:rPr>
        <w:t>Virgin Media O2</w:t>
      </w:r>
    </w:p>
    <w:p w14:paraId="17FE659B" w14:textId="77777777" w:rsidR="00A27AC2" w:rsidRDefault="009C0578" w:rsidP="00CC5AE7">
      <w:pPr>
        <w:numPr>
          <w:ilvl w:val="0"/>
          <w:numId w:val="1"/>
        </w:numPr>
        <w:spacing w:before="0" w:after="0" w:line="315" w:lineRule="auto"/>
        <w:ind w:left="1020"/>
      </w:pPr>
      <w:r>
        <w:rPr>
          <w:color w:val="0B0C0C"/>
        </w:rPr>
        <w:t>Sky</w:t>
      </w:r>
    </w:p>
    <w:p w14:paraId="158CA1DC" w14:textId="77777777" w:rsidR="00A27AC2" w:rsidRDefault="009C0578" w:rsidP="00CC5AE7">
      <w:pPr>
        <w:numPr>
          <w:ilvl w:val="0"/>
          <w:numId w:val="1"/>
        </w:numPr>
        <w:spacing w:before="0" w:after="0" w:line="315" w:lineRule="auto"/>
        <w:ind w:left="1020"/>
      </w:pPr>
      <w:r>
        <w:rPr>
          <w:color w:val="0B0C0C"/>
        </w:rPr>
        <w:t>TalkTalk</w:t>
      </w:r>
    </w:p>
    <w:p w14:paraId="4F2A3163" w14:textId="77777777" w:rsidR="00A27AC2" w:rsidRDefault="009C0578" w:rsidP="00CC5AE7">
      <w:pPr>
        <w:numPr>
          <w:ilvl w:val="0"/>
          <w:numId w:val="1"/>
        </w:numPr>
        <w:spacing w:before="0" w:after="0" w:line="315" w:lineRule="auto"/>
        <w:ind w:left="1020"/>
      </w:pPr>
      <w:r>
        <w:rPr>
          <w:color w:val="0B0C0C"/>
        </w:rPr>
        <w:t>Vodafone</w:t>
      </w:r>
    </w:p>
    <w:p w14:paraId="20B59336" w14:textId="77777777" w:rsidR="00A27AC2" w:rsidRDefault="009C0578" w:rsidP="00CC5AE7">
      <w:pPr>
        <w:numPr>
          <w:ilvl w:val="0"/>
          <w:numId w:val="1"/>
        </w:numPr>
        <w:spacing w:before="0" w:after="0" w:line="315" w:lineRule="auto"/>
        <w:ind w:left="1020"/>
      </w:pPr>
      <w:r>
        <w:rPr>
          <w:color w:val="0B0C0C"/>
        </w:rPr>
        <w:t>Shell Energy</w:t>
      </w:r>
    </w:p>
    <w:p w14:paraId="70DD35D6" w14:textId="77777777" w:rsidR="00A27AC2" w:rsidRDefault="009C0578" w:rsidP="00CC5AE7">
      <w:pPr>
        <w:numPr>
          <w:ilvl w:val="0"/>
          <w:numId w:val="1"/>
        </w:numPr>
        <w:spacing w:before="0" w:after="380" w:line="315" w:lineRule="auto"/>
        <w:ind w:left="1020"/>
      </w:pPr>
      <w:r>
        <w:rPr>
          <w:color w:val="0B0C0C"/>
        </w:rPr>
        <w:t>KCOM</w:t>
      </w:r>
    </w:p>
    <w:p w14:paraId="71674DEC" w14:textId="77777777" w:rsidR="00A27AC2" w:rsidRDefault="00A27AC2" w:rsidP="00CC5AE7">
      <w:pPr>
        <w:spacing w:before="0" w:after="0" w:line="276" w:lineRule="auto"/>
        <w:rPr>
          <w:sz w:val="24"/>
          <w:szCs w:val="24"/>
        </w:rPr>
      </w:pPr>
    </w:p>
    <w:p w14:paraId="23254841" w14:textId="77777777" w:rsidR="00A27AC2" w:rsidRDefault="00A27AC2" w:rsidP="00CC5AE7"/>
    <w:sectPr w:rsidR="00A27AC2" w:rsidSect="008B075F">
      <w:pgSz w:w="16820" w:h="11900" w:orient="landscape"/>
      <w:pgMar w:top="851" w:right="1936" w:bottom="851" w:left="1418" w:header="283" w:footer="2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6" w:author="Sarah-Jane Griffin" w:date="2024-04-19T14:59:00Z" w:initials="SJG">
    <w:p w14:paraId="2B6BE738" w14:textId="77777777" w:rsidR="006A2DCC" w:rsidRDefault="006A2DCC" w:rsidP="003B0993">
      <w:pPr>
        <w:pStyle w:val="CommentText"/>
      </w:pPr>
      <w:r>
        <w:rPr>
          <w:rStyle w:val="CommentReference"/>
        </w:rPr>
        <w:annotationRef/>
      </w:r>
      <w:r>
        <w:t xml:space="preserve">This would need to be specified by the relevant local authority. </w:t>
      </w:r>
    </w:p>
  </w:comment>
  <w:comment w:id="97" w:author="Victoria Blyth" w:date="2024-01-30T15:17:00Z" w:initials="">
    <w:p w14:paraId="73657BF6" w14:textId="77777777" w:rsidR="00B67347" w:rsidRDefault="00B67347" w:rsidP="00B67347">
      <w:pPr>
        <w:pStyle w:val="CommentText"/>
      </w:pPr>
      <w:r>
        <w:rPr>
          <w:color w:val="000000"/>
        </w:rPr>
        <w:t>you could add SPOC details here too</w:t>
      </w:r>
    </w:p>
  </w:comment>
  <w:comment w:id="98" w:author="Sarah-Jane Griffin" w:date="2024-04-19T12:54:00Z" w:initials="SJG">
    <w:p w14:paraId="175191BE" w14:textId="77777777" w:rsidR="00B67347" w:rsidRDefault="00B67347" w:rsidP="00B67347">
      <w:pPr>
        <w:pStyle w:val="CommentText"/>
      </w:pPr>
      <w:r>
        <w:rPr>
          <w:rStyle w:val="CommentReference"/>
        </w:rPr>
        <w:annotationRef/>
      </w:r>
      <w:r>
        <w:t xml:space="preserve">We would like to have the specific entities detailed here for the parties that are going to be sharing the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BE738" w15:done="1"/>
  <w15:commentEx w15:paraId="73657BF6" w15:done="1"/>
  <w15:commentEx w15:paraId="175191BE" w15:paraIdParent="73657B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CD055C" w16cex:dateUtc="2024-04-19T13:59:00Z">
    <w16cex:extLst>
      <w16:ext w16:uri="{CE6994B0-6A32-4C9F-8C6B-6E91EDA988CE}">
        <cr:reactions xmlns:cr="http://schemas.microsoft.com/office/comments/2020/reactions">
          <cr:reaction reactionType="1">
            <cr:reactionInfo dateUtc="2024-04-23T14:59:04Z">
              <cr:user userId="S::Victoria.Blyth@londoncouncils.gov.uk::48b3a0ba-bd0c-48d3-a311-037337097815" userProvider="AD" userName="Victoria Blyth"/>
            </cr:reactionInfo>
          </cr:reaction>
        </cr:reactions>
      </w16:ext>
    </w16cex:extLst>
  </w16cex:commentExtensible>
  <w16cex:commentExtensible w16cex:durableId="66171C13">
    <w16cex:extLst>
      <w16:ext w16:uri="{CE6994B0-6A32-4C9F-8C6B-6E91EDA988CE}">
        <cr:reactions xmlns:cr="http://schemas.microsoft.com/office/comments/2020/reactions">
          <cr:reaction reactionType="1">
            <cr:reactionInfo dateUtc="2024-04-23T14:42:37Z">
              <cr:user userId="S::Victoria.Blyth@londoncouncils.gov.uk::48b3a0ba-bd0c-48d3-a311-037337097815" userProvider="AD" userName="Victoria Blyth"/>
            </cr:reactionInfo>
          </cr:reaction>
        </cr:reactions>
      </w16:ext>
    </w16cex:extLst>
  </w16cex:commentExtensible>
  <w16cex:commentExtensible w16cex:durableId="1AD493E7" w16cex:dateUtc="2024-04-19T11:54:00Z">
    <w16cex:extLst>
      <w16:ext w16:uri="{CE6994B0-6A32-4C9F-8C6B-6E91EDA988CE}">
        <cr:reactions xmlns:cr="http://schemas.microsoft.com/office/comments/2020/reactions">
          <cr:reaction reactionType="1">
            <cr:reactionInfo dateUtc="2024-04-23T14:29:48Z">
              <cr:user userId="S::Victoria.Blyth@londoncouncils.gov.uk::48b3a0ba-bd0c-48d3-a311-037337097815" userProvider="AD" userName="Victoria Blyt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BE738" w16cid:durableId="29CD055C"/>
  <w16cid:commentId w16cid:paraId="73657BF6" w16cid:durableId="66171C13"/>
  <w16cid:commentId w16cid:paraId="175191BE" w16cid:durableId="1AD49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BA10" w14:textId="77777777" w:rsidR="00761D07" w:rsidRDefault="00761D07">
      <w:pPr>
        <w:spacing w:before="0" w:after="0" w:line="240" w:lineRule="auto"/>
      </w:pPr>
      <w:r>
        <w:separator/>
      </w:r>
    </w:p>
  </w:endnote>
  <w:endnote w:type="continuationSeparator" w:id="0">
    <w:p w14:paraId="143C97C6" w14:textId="77777777" w:rsidR="00761D07" w:rsidRDefault="00761D07">
      <w:pPr>
        <w:spacing w:before="0" w:after="0" w:line="240" w:lineRule="auto"/>
      </w:pPr>
      <w:r>
        <w:continuationSeparator/>
      </w:r>
    </w:p>
  </w:endnote>
  <w:endnote w:type="continuationNotice" w:id="1">
    <w:p w14:paraId="0E885859" w14:textId="77777777" w:rsidR="00761D07" w:rsidRDefault="00761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8448" w14:textId="1AFDE013" w:rsidR="00A27AC2" w:rsidRDefault="009C0578">
    <w:pPr>
      <w:pBdr>
        <w:top w:val="nil"/>
        <w:left w:val="nil"/>
        <w:bottom w:val="nil"/>
        <w:right w:val="nil"/>
        <w:between w:val="nil"/>
      </w:pBdr>
      <w:tabs>
        <w:tab w:val="center" w:pos="4320"/>
        <w:tab w:val="right" w:pos="8640"/>
      </w:tabs>
      <w:spacing w:after="0"/>
      <w:rPr>
        <w:color w:val="000000"/>
      </w:rPr>
    </w:pPr>
    <w:r>
      <w:tab/>
    </w:r>
    <w:r>
      <w:rPr>
        <w:color w:val="000000"/>
      </w:rPr>
      <w:fldChar w:fldCharType="begin"/>
    </w:r>
    <w:r>
      <w:rPr>
        <w:color w:val="000000"/>
      </w:rPr>
      <w:instrText>PAGE</w:instrText>
    </w:r>
    <w:r>
      <w:rPr>
        <w:color w:val="000000"/>
      </w:rPr>
      <w:fldChar w:fldCharType="separate"/>
    </w:r>
    <w:r w:rsidR="006D711D">
      <w:rPr>
        <w:noProof/>
        <w:color w:val="000000"/>
      </w:rPr>
      <w:t>1</w:t>
    </w:r>
    <w:r>
      <w:rPr>
        <w:color w:val="000000"/>
      </w:rPr>
      <w:fldChar w:fldCharType="end"/>
    </w:r>
  </w:p>
  <w:p w14:paraId="51DD9E5D" w14:textId="77777777" w:rsidR="00A27AC2" w:rsidRDefault="00A27AC2">
    <w:pPr>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3691" w14:textId="77777777" w:rsidR="00761D07" w:rsidRDefault="00761D07">
      <w:pPr>
        <w:spacing w:before="0" w:after="0" w:line="240" w:lineRule="auto"/>
      </w:pPr>
      <w:r>
        <w:separator/>
      </w:r>
    </w:p>
  </w:footnote>
  <w:footnote w:type="continuationSeparator" w:id="0">
    <w:p w14:paraId="5EA9E4CA" w14:textId="77777777" w:rsidR="00761D07" w:rsidRDefault="00761D07">
      <w:pPr>
        <w:spacing w:before="0" w:after="0" w:line="240" w:lineRule="auto"/>
      </w:pPr>
      <w:r>
        <w:continuationSeparator/>
      </w:r>
    </w:p>
  </w:footnote>
  <w:footnote w:type="continuationNotice" w:id="1">
    <w:p w14:paraId="3CCF94BD" w14:textId="77777777" w:rsidR="00761D07" w:rsidRDefault="00761D0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74AE"/>
    <w:multiLevelType w:val="hybridMultilevel"/>
    <w:tmpl w:val="04FCB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F03F0"/>
    <w:multiLevelType w:val="hybridMultilevel"/>
    <w:tmpl w:val="CE7AD7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61842"/>
    <w:multiLevelType w:val="multilevel"/>
    <w:tmpl w:val="A7260EF6"/>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933F52"/>
    <w:multiLevelType w:val="hybridMultilevel"/>
    <w:tmpl w:val="D8DE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E2F75"/>
    <w:multiLevelType w:val="hybridMultilevel"/>
    <w:tmpl w:val="8FDC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1637C"/>
    <w:multiLevelType w:val="multilevel"/>
    <w:tmpl w:val="9FF291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EE07858"/>
    <w:multiLevelType w:val="multilevel"/>
    <w:tmpl w:val="2DDA8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56D95"/>
    <w:multiLevelType w:val="hybridMultilevel"/>
    <w:tmpl w:val="64CC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E65"/>
    <w:multiLevelType w:val="hybridMultilevel"/>
    <w:tmpl w:val="7E3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A5219"/>
    <w:multiLevelType w:val="hybridMultilevel"/>
    <w:tmpl w:val="B19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06CF5"/>
    <w:multiLevelType w:val="hybridMultilevel"/>
    <w:tmpl w:val="A26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A2846"/>
    <w:multiLevelType w:val="hybridMultilevel"/>
    <w:tmpl w:val="3AF2B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5F42BF"/>
    <w:multiLevelType w:val="hybridMultilevel"/>
    <w:tmpl w:val="CD2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664DB"/>
    <w:multiLevelType w:val="multilevel"/>
    <w:tmpl w:val="FF34F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07FCC"/>
    <w:multiLevelType w:val="multilevel"/>
    <w:tmpl w:val="21A052DE"/>
    <w:lvl w:ilvl="0">
      <w:start w:val="1"/>
      <w:numFmt w:val="bullet"/>
      <w:lvlText w:val="●"/>
      <w:lvlJc w:val="left"/>
      <w:pPr>
        <w:ind w:left="-600" w:hanging="360"/>
      </w:pPr>
      <w:rPr>
        <w:rFonts w:ascii="Arial" w:eastAsia="Arial" w:hAnsi="Arial" w:cs="Arial"/>
        <w:color w:val="0B0C0C"/>
        <w:u w:val="none"/>
      </w:rPr>
    </w:lvl>
    <w:lvl w:ilvl="1">
      <w:start w:val="1"/>
      <w:numFmt w:val="bullet"/>
      <w:lvlText w:val="○"/>
      <w:lvlJc w:val="left"/>
      <w:pPr>
        <w:ind w:left="120" w:hanging="360"/>
      </w:pPr>
      <w:rPr>
        <w:u w:val="none"/>
      </w:rPr>
    </w:lvl>
    <w:lvl w:ilvl="2">
      <w:start w:val="1"/>
      <w:numFmt w:val="bullet"/>
      <w:lvlText w:val="■"/>
      <w:lvlJc w:val="left"/>
      <w:pPr>
        <w:ind w:left="840" w:hanging="360"/>
      </w:pPr>
      <w:rPr>
        <w:u w:val="none"/>
      </w:rPr>
    </w:lvl>
    <w:lvl w:ilvl="3">
      <w:start w:val="1"/>
      <w:numFmt w:val="bullet"/>
      <w:lvlText w:val="●"/>
      <w:lvlJc w:val="left"/>
      <w:pPr>
        <w:ind w:left="1560" w:hanging="360"/>
      </w:pPr>
      <w:rPr>
        <w:u w:val="none"/>
      </w:rPr>
    </w:lvl>
    <w:lvl w:ilvl="4">
      <w:start w:val="1"/>
      <w:numFmt w:val="bullet"/>
      <w:lvlText w:val="○"/>
      <w:lvlJc w:val="left"/>
      <w:pPr>
        <w:ind w:left="2280" w:hanging="360"/>
      </w:pPr>
      <w:rPr>
        <w:u w:val="none"/>
      </w:rPr>
    </w:lvl>
    <w:lvl w:ilvl="5">
      <w:start w:val="1"/>
      <w:numFmt w:val="bullet"/>
      <w:lvlText w:val="■"/>
      <w:lvlJc w:val="left"/>
      <w:pPr>
        <w:ind w:left="3000" w:hanging="360"/>
      </w:pPr>
      <w:rPr>
        <w:u w:val="none"/>
      </w:rPr>
    </w:lvl>
    <w:lvl w:ilvl="6">
      <w:start w:val="1"/>
      <w:numFmt w:val="bullet"/>
      <w:lvlText w:val="●"/>
      <w:lvlJc w:val="left"/>
      <w:pPr>
        <w:ind w:left="3720" w:hanging="360"/>
      </w:pPr>
      <w:rPr>
        <w:u w:val="none"/>
      </w:rPr>
    </w:lvl>
    <w:lvl w:ilvl="7">
      <w:start w:val="1"/>
      <w:numFmt w:val="bullet"/>
      <w:lvlText w:val="○"/>
      <w:lvlJc w:val="left"/>
      <w:pPr>
        <w:ind w:left="4440" w:hanging="360"/>
      </w:pPr>
      <w:rPr>
        <w:u w:val="none"/>
      </w:rPr>
    </w:lvl>
    <w:lvl w:ilvl="8">
      <w:start w:val="1"/>
      <w:numFmt w:val="bullet"/>
      <w:lvlText w:val="■"/>
      <w:lvlJc w:val="left"/>
      <w:pPr>
        <w:ind w:left="5160" w:hanging="360"/>
      </w:pPr>
      <w:rPr>
        <w:u w:val="none"/>
      </w:rPr>
    </w:lvl>
  </w:abstractNum>
  <w:abstractNum w:abstractNumId="15" w15:restartNumberingAfterBreak="0">
    <w:nsid w:val="5A664D75"/>
    <w:multiLevelType w:val="hybridMultilevel"/>
    <w:tmpl w:val="ACAE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E0E90"/>
    <w:multiLevelType w:val="multilevel"/>
    <w:tmpl w:val="D7208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1A3A48"/>
    <w:multiLevelType w:val="hybridMultilevel"/>
    <w:tmpl w:val="A76C53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D7548C"/>
    <w:multiLevelType w:val="multilevel"/>
    <w:tmpl w:val="A2E24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661B01"/>
    <w:multiLevelType w:val="multilevel"/>
    <w:tmpl w:val="759C8640"/>
    <w:lvl w:ilvl="0">
      <w:start w:val="1"/>
      <w:numFmt w:val="bullet"/>
      <w:lvlText w:val="●"/>
      <w:lvlJc w:val="left"/>
      <w:pPr>
        <w:ind w:left="454" w:hanging="17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3E72AA"/>
    <w:multiLevelType w:val="multilevel"/>
    <w:tmpl w:val="4E685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6E17C2"/>
    <w:multiLevelType w:val="hybridMultilevel"/>
    <w:tmpl w:val="2B3A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A2DA7"/>
    <w:multiLevelType w:val="multilevel"/>
    <w:tmpl w:val="1656320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76C23A8B"/>
    <w:multiLevelType w:val="multilevel"/>
    <w:tmpl w:val="2F36B094"/>
    <w:lvl w:ilvl="0">
      <w:start w:val="3"/>
      <w:numFmt w:val="decimal"/>
      <w:lvlText w:val="%1"/>
      <w:lvlJc w:val="left"/>
      <w:pPr>
        <w:ind w:left="360" w:hanging="360"/>
      </w:pPr>
      <w:rPr>
        <w:rFonts w:hint="default"/>
      </w:rPr>
    </w:lvl>
    <w:lvl w:ilvl="1">
      <w:start w:val="1"/>
      <w:numFmt w:val="decimal"/>
      <w:lvlText w:val="%1.%2"/>
      <w:lvlJc w:val="left"/>
      <w:pPr>
        <w:ind w:left="2160" w:hanging="720"/>
      </w:p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16cid:durableId="428620391">
    <w:abstractNumId w:val="14"/>
  </w:num>
  <w:num w:numId="2" w16cid:durableId="472017587">
    <w:abstractNumId w:val="20"/>
  </w:num>
  <w:num w:numId="3" w16cid:durableId="848761445">
    <w:abstractNumId w:val="16"/>
  </w:num>
  <w:num w:numId="4" w16cid:durableId="439107845">
    <w:abstractNumId w:val="6"/>
  </w:num>
  <w:num w:numId="5" w16cid:durableId="878512513">
    <w:abstractNumId w:val="5"/>
  </w:num>
  <w:num w:numId="6" w16cid:durableId="813837006">
    <w:abstractNumId w:val="13"/>
  </w:num>
  <w:num w:numId="7" w16cid:durableId="74598494">
    <w:abstractNumId w:val="19"/>
  </w:num>
  <w:num w:numId="8" w16cid:durableId="1051461064">
    <w:abstractNumId w:val="22"/>
  </w:num>
  <w:num w:numId="9" w16cid:durableId="469589658">
    <w:abstractNumId w:val="18"/>
  </w:num>
  <w:num w:numId="10" w16cid:durableId="788206343">
    <w:abstractNumId w:val="3"/>
  </w:num>
  <w:num w:numId="11" w16cid:durableId="172457776">
    <w:abstractNumId w:val="4"/>
  </w:num>
  <w:num w:numId="12" w16cid:durableId="156114566">
    <w:abstractNumId w:val="7"/>
  </w:num>
  <w:num w:numId="13" w16cid:durableId="977535292">
    <w:abstractNumId w:val="0"/>
  </w:num>
  <w:num w:numId="14" w16cid:durableId="271517020">
    <w:abstractNumId w:val="17"/>
  </w:num>
  <w:num w:numId="15" w16cid:durableId="1100419323">
    <w:abstractNumId w:val="11"/>
  </w:num>
  <w:num w:numId="16" w16cid:durableId="988024388">
    <w:abstractNumId w:val="1"/>
  </w:num>
  <w:num w:numId="17" w16cid:durableId="749041079">
    <w:abstractNumId w:val="2"/>
  </w:num>
  <w:num w:numId="18" w16cid:durableId="1424763400">
    <w:abstractNumId w:val="23"/>
  </w:num>
  <w:num w:numId="19" w16cid:durableId="1948735524">
    <w:abstractNumId w:val="8"/>
  </w:num>
  <w:num w:numId="20" w16cid:durableId="675232977">
    <w:abstractNumId w:val="15"/>
  </w:num>
  <w:num w:numId="21" w16cid:durableId="1018845508">
    <w:abstractNumId w:val="12"/>
  </w:num>
  <w:num w:numId="22" w16cid:durableId="353114971">
    <w:abstractNumId w:val="9"/>
  </w:num>
  <w:num w:numId="23" w16cid:durableId="1359893590">
    <w:abstractNumId w:val="10"/>
  </w:num>
  <w:num w:numId="24" w16cid:durableId="1344935252">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Jane Griffin">
    <w15:presenceInfo w15:providerId="AD" w15:userId="S::Sarah-Jane.Wentzel@virginmediao2.co.uk::03d60d9b-f473-46ce-8a4a-90f2c864a7c6"/>
  </w15:person>
  <w15:person w15:author="Victoria Blyth">
    <w15:presenceInfo w15:providerId="AD" w15:userId="S::Victoria.Blyth@londoncouncils.gov.uk::48b3a0ba-bd0c-48d3-a311-037337097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C2"/>
    <w:rsid w:val="000149FD"/>
    <w:rsid w:val="00045DE8"/>
    <w:rsid w:val="00048C87"/>
    <w:rsid w:val="000642D9"/>
    <w:rsid w:val="00071102"/>
    <w:rsid w:val="00074F6F"/>
    <w:rsid w:val="00075AF2"/>
    <w:rsid w:val="000C7DDC"/>
    <w:rsid w:val="000E1E25"/>
    <w:rsid w:val="000E2A48"/>
    <w:rsid w:val="000E4D25"/>
    <w:rsid w:val="000F20D3"/>
    <w:rsid w:val="000F3F01"/>
    <w:rsid w:val="000F55D2"/>
    <w:rsid w:val="000F6578"/>
    <w:rsid w:val="00101EB6"/>
    <w:rsid w:val="0010536C"/>
    <w:rsid w:val="00106EF4"/>
    <w:rsid w:val="0011578E"/>
    <w:rsid w:val="00120C3E"/>
    <w:rsid w:val="001244E8"/>
    <w:rsid w:val="001300D8"/>
    <w:rsid w:val="0013175C"/>
    <w:rsid w:val="00136BAD"/>
    <w:rsid w:val="001411DB"/>
    <w:rsid w:val="0016415A"/>
    <w:rsid w:val="00165968"/>
    <w:rsid w:val="0016615C"/>
    <w:rsid w:val="00170709"/>
    <w:rsid w:val="001A1DD3"/>
    <w:rsid w:val="001C6283"/>
    <w:rsid w:val="001C7EE0"/>
    <w:rsid w:val="001D480C"/>
    <w:rsid w:val="001F75E1"/>
    <w:rsid w:val="002002BC"/>
    <w:rsid w:val="00217F43"/>
    <w:rsid w:val="002262EF"/>
    <w:rsid w:val="00234923"/>
    <w:rsid w:val="00256666"/>
    <w:rsid w:val="002632EB"/>
    <w:rsid w:val="00263841"/>
    <w:rsid w:val="00276A75"/>
    <w:rsid w:val="0028011C"/>
    <w:rsid w:val="002907D3"/>
    <w:rsid w:val="002A775F"/>
    <w:rsid w:val="002B04A5"/>
    <w:rsid w:val="002B461E"/>
    <w:rsid w:val="002D03FF"/>
    <w:rsid w:val="002D3AB7"/>
    <w:rsid w:val="003025B1"/>
    <w:rsid w:val="00311D7D"/>
    <w:rsid w:val="003218C6"/>
    <w:rsid w:val="00323492"/>
    <w:rsid w:val="00342238"/>
    <w:rsid w:val="003449C3"/>
    <w:rsid w:val="00351282"/>
    <w:rsid w:val="003679C9"/>
    <w:rsid w:val="00373E77"/>
    <w:rsid w:val="00377956"/>
    <w:rsid w:val="00390B36"/>
    <w:rsid w:val="003D4D9E"/>
    <w:rsid w:val="003D7CBA"/>
    <w:rsid w:val="003F1723"/>
    <w:rsid w:val="003F691A"/>
    <w:rsid w:val="00422B0B"/>
    <w:rsid w:val="00450023"/>
    <w:rsid w:val="00452D42"/>
    <w:rsid w:val="00487B6C"/>
    <w:rsid w:val="004B5AC4"/>
    <w:rsid w:val="004B679B"/>
    <w:rsid w:val="004B791A"/>
    <w:rsid w:val="004C3A18"/>
    <w:rsid w:val="004C7505"/>
    <w:rsid w:val="004C7BEB"/>
    <w:rsid w:val="004D30E0"/>
    <w:rsid w:val="004D7001"/>
    <w:rsid w:val="004E56B9"/>
    <w:rsid w:val="004E56F4"/>
    <w:rsid w:val="004F0678"/>
    <w:rsid w:val="004F7C0B"/>
    <w:rsid w:val="00517122"/>
    <w:rsid w:val="00517DA8"/>
    <w:rsid w:val="00522115"/>
    <w:rsid w:val="005679CE"/>
    <w:rsid w:val="00591B85"/>
    <w:rsid w:val="00591F88"/>
    <w:rsid w:val="005C1833"/>
    <w:rsid w:val="005E3138"/>
    <w:rsid w:val="005E3FD9"/>
    <w:rsid w:val="005F0036"/>
    <w:rsid w:val="005F7375"/>
    <w:rsid w:val="00605B76"/>
    <w:rsid w:val="00637DE8"/>
    <w:rsid w:val="00640CDA"/>
    <w:rsid w:val="00675F34"/>
    <w:rsid w:val="006847DA"/>
    <w:rsid w:val="00691AFF"/>
    <w:rsid w:val="00693E5A"/>
    <w:rsid w:val="00693FCC"/>
    <w:rsid w:val="006A2DCC"/>
    <w:rsid w:val="006A7B79"/>
    <w:rsid w:val="006D711D"/>
    <w:rsid w:val="006F40C5"/>
    <w:rsid w:val="006F41D1"/>
    <w:rsid w:val="007004AA"/>
    <w:rsid w:val="00703F97"/>
    <w:rsid w:val="00714AC6"/>
    <w:rsid w:val="0071632C"/>
    <w:rsid w:val="00741CE4"/>
    <w:rsid w:val="00746884"/>
    <w:rsid w:val="00746C7C"/>
    <w:rsid w:val="007505AF"/>
    <w:rsid w:val="00761D07"/>
    <w:rsid w:val="00780B1E"/>
    <w:rsid w:val="00796338"/>
    <w:rsid w:val="007A6CBE"/>
    <w:rsid w:val="007B55F0"/>
    <w:rsid w:val="007C2427"/>
    <w:rsid w:val="007D23E1"/>
    <w:rsid w:val="007D595C"/>
    <w:rsid w:val="007E65B3"/>
    <w:rsid w:val="007F28A5"/>
    <w:rsid w:val="00800541"/>
    <w:rsid w:val="008038B9"/>
    <w:rsid w:val="00803DDD"/>
    <w:rsid w:val="00820AB1"/>
    <w:rsid w:val="008257A8"/>
    <w:rsid w:val="00827D60"/>
    <w:rsid w:val="008331F2"/>
    <w:rsid w:val="0084168D"/>
    <w:rsid w:val="0085338D"/>
    <w:rsid w:val="00860377"/>
    <w:rsid w:val="00880D6A"/>
    <w:rsid w:val="008854F9"/>
    <w:rsid w:val="00887F4C"/>
    <w:rsid w:val="00897EB4"/>
    <w:rsid w:val="008A1B1D"/>
    <w:rsid w:val="008B075F"/>
    <w:rsid w:val="008B1550"/>
    <w:rsid w:val="008D7ED4"/>
    <w:rsid w:val="008F2616"/>
    <w:rsid w:val="008F7DAC"/>
    <w:rsid w:val="00910834"/>
    <w:rsid w:val="00911233"/>
    <w:rsid w:val="00922DE2"/>
    <w:rsid w:val="0093558B"/>
    <w:rsid w:val="00936338"/>
    <w:rsid w:val="00960461"/>
    <w:rsid w:val="00962024"/>
    <w:rsid w:val="00972F4E"/>
    <w:rsid w:val="009757CD"/>
    <w:rsid w:val="009876C3"/>
    <w:rsid w:val="00990454"/>
    <w:rsid w:val="009A1A6E"/>
    <w:rsid w:val="009A3A39"/>
    <w:rsid w:val="009A4A49"/>
    <w:rsid w:val="009C0578"/>
    <w:rsid w:val="009D0E14"/>
    <w:rsid w:val="009E25CD"/>
    <w:rsid w:val="009F26F6"/>
    <w:rsid w:val="00A22056"/>
    <w:rsid w:val="00A23E77"/>
    <w:rsid w:val="00A24A91"/>
    <w:rsid w:val="00A27AC2"/>
    <w:rsid w:val="00A4027C"/>
    <w:rsid w:val="00A41019"/>
    <w:rsid w:val="00A42E0F"/>
    <w:rsid w:val="00A43385"/>
    <w:rsid w:val="00A4681E"/>
    <w:rsid w:val="00A7028A"/>
    <w:rsid w:val="00AA010C"/>
    <w:rsid w:val="00AA2254"/>
    <w:rsid w:val="00AA402F"/>
    <w:rsid w:val="00AC0565"/>
    <w:rsid w:val="00AC2169"/>
    <w:rsid w:val="00AC75B3"/>
    <w:rsid w:val="00AF05AA"/>
    <w:rsid w:val="00AF7920"/>
    <w:rsid w:val="00B00768"/>
    <w:rsid w:val="00B01688"/>
    <w:rsid w:val="00B043F1"/>
    <w:rsid w:val="00B11AC0"/>
    <w:rsid w:val="00B21EE4"/>
    <w:rsid w:val="00B34DA4"/>
    <w:rsid w:val="00B366E6"/>
    <w:rsid w:val="00B52EC6"/>
    <w:rsid w:val="00B55AB9"/>
    <w:rsid w:val="00B67347"/>
    <w:rsid w:val="00BB4D3C"/>
    <w:rsid w:val="00BB647E"/>
    <w:rsid w:val="00BC08FC"/>
    <w:rsid w:val="00BE1E46"/>
    <w:rsid w:val="00C04589"/>
    <w:rsid w:val="00C10041"/>
    <w:rsid w:val="00C11B73"/>
    <w:rsid w:val="00C22689"/>
    <w:rsid w:val="00C30444"/>
    <w:rsid w:val="00C3212A"/>
    <w:rsid w:val="00C3686A"/>
    <w:rsid w:val="00C41B89"/>
    <w:rsid w:val="00C42C22"/>
    <w:rsid w:val="00C6346C"/>
    <w:rsid w:val="00C63EF7"/>
    <w:rsid w:val="00C73504"/>
    <w:rsid w:val="00C81F5F"/>
    <w:rsid w:val="00C90F00"/>
    <w:rsid w:val="00C94781"/>
    <w:rsid w:val="00CC41B3"/>
    <w:rsid w:val="00CC46AB"/>
    <w:rsid w:val="00CC5AE7"/>
    <w:rsid w:val="00CC5F42"/>
    <w:rsid w:val="00CC7B16"/>
    <w:rsid w:val="00CD56E5"/>
    <w:rsid w:val="00D01E5D"/>
    <w:rsid w:val="00D10620"/>
    <w:rsid w:val="00D13FD4"/>
    <w:rsid w:val="00D230BA"/>
    <w:rsid w:val="00D23754"/>
    <w:rsid w:val="00D41B12"/>
    <w:rsid w:val="00D852DA"/>
    <w:rsid w:val="00D92196"/>
    <w:rsid w:val="00D955A4"/>
    <w:rsid w:val="00DB72EA"/>
    <w:rsid w:val="00DC561F"/>
    <w:rsid w:val="00DD2483"/>
    <w:rsid w:val="00DE256A"/>
    <w:rsid w:val="00DE79A1"/>
    <w:rsid w:val="00E055EF"/>
    <w:rsid w:val="00E30CF4"/>
    <w:rsid w:val="00E445C4"/>
    <w:rsid w:val="00E5063B"/>
    <w:rsid w:val="00E8670B"/>
    <w:rsid w:val="00E962CF"/>
    <w:rsid w:val="00EB55B2"/>
    <w:rsid w:val="00EC3CDE"/>
    <w:rsid w:val="00ED70F7"/>
    <w:rsid w:val="00EE508D"/>
    <w:rsid w:val="00EE62FF"/>
    <w:rsid w:val="00EE6AFA"/>
    <w:rsid w:val="00EF3763"/>
    <w:rsid w:val="00F17F5D"/>
    <w:rsid w:val="00F236C4"/>
    <w:rsid w:val="00F40832"/>
    <w:rsid w:val="00F40D63"/>
    <w:rsid w:val="00F460AD"/>
    <w:rsid w:val="00F57716"/>
    <w:rsid w:val="00F62AE3"/>
    <w:rsid w:val="00F63629"/>
    <w:rsid w:val="00F82C9D"/>
    <w:rsid w:val="00FA24C0"/>
    <w:rsid w:val="00FB313B"/>
    <w:rsid w:val="00FC2971"/>
    <w:rsid w:val="00FD464B"/>
    <w:rsid w:val="0783B505"/>
    <w:rsid w:val="0E235E2F"/>
    <w:rsid w:val="11C7B754"/>
    <w:rsid w:val="123032EC"/>
    <w:rsid w:val="18324EA3"/>
    <w:rsid w:val="1FFB3D91"/>
    <w:rsid w:val="234B8BB5"/>
    <w:rsid w:val="24DF7C72"/>
    <w:rsid w:val="28CE0F37"/>
    <w:rsid w:val="2B377302"/>
    <w:rsid w:val="2F1CB01E"/>
    <w:rsid w:val="30D0148A"/>
    <w:rsid w:val="32F9583E"/>
    <w:rsid w:val="33FB2828"/>
    <w:rsid w:val="3D533CC1"/>
    <w:rsid w:val="42B19E0B"/>
    <w:rsid w:val="42F5289A"/>
    <w:rsid w:val="433D43B1"/>
    <w:rsid w:val="435C92B2"/>
    <w:rsid w:val="44482A58"/>
    <w:rsid w:val="454DB566"/>
    <w:rsid w:val="4CB228FF"/>
    <w:rsid w:val="50347430"/>
    <w:rsid w:val="5D4504DA"/>
    <w:rsid w:val="5F6EF86C"/>
    <w:rsid w:val="5FE09D2D"/>
    <w:rsid w:val="635819F4"/>
    <w:rsid w:val="65725897"/>
    <w:rsid w:val="71920FC6"/>
    <w:rsid w:val="75C6038D"/>
    <w:rsid w:val="7DC0C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813F"/>
  <w15:docId w15:val="{A77AE361-3EA7-45ED-B696-1D75DD1E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before="80" w:after="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80" w:after="90" w:line="240" w:lineRule="auto"/>
      <w:ind w:left="720" w:hanging="720"/>
      <w:outlineLvl w:val="0"/>
    </w:pPr>
    <w:rPr>
      <w:b/>
      <w:color w:val="1F497D"/>
      <w:sz w:val="40"/>
      <w:szCs w:val="40"/>
    </w:rPr>
  </w:style>
  <w:style w:type="paragraph" w:styleId="Heading2">
    <w:name w:val="heading 2"/>
    <w:basedOn w:val="Normal"/>
    <w:next w:val="Normal"/>
    <w:uiPriority w:val="9"/>
    <w:unhideWhenUsed/>
    <w:qFormat/>
    <w:pPr>
      <w:keepNext/>
      <w:pBdr>
        <w:top w:val="nil"/>
        <w:left w:val="nil"/>
        <w:bottom w:val="nil"/>
        <w:right w:val="nil"/>
        <w:between w:val="nil"/>
      </w:pBdr>
      <w:spacing w:before="50" w:after="40"/>
      <w:ind w:left="720" w:hanging="720"/>
      <w:outlineLvl w:val="1"/>
    </w:pPr>
    <w:rPr>
      <w:b/>
      <w:color w:val="1F497D"/>
      <w:sz w:val="26"/>
      <w:szCs w:val="26"/>
    </w:rPr>
  </w:style>
  <w:style w:type="paragraph" w:styleId="Heading3">
    <w:name w:val="heading 3"/>
    <w:basedOn w:val="Normal"/>
    <w:next w:val="Normal"/>
    <w:uiPriority w:val="9"/>
    <w:unhideWhenUsed/>
    <w:qFormat/>
    <w:pPr>
      <w:spacing w:before="50" w:after="40"/>
      <w:ind w:left="720"/>
      <w:outlineLvl w:val="2"/>
    </w:pPr>
    <w:rPr>
      <w:b/>
      <w:color w:val="3A3D41"/>
      <w:sz w:val="24"/>
      <w:szCs w:val="24"/>
    </w:rPr>
  </w:style>
  <w:style w:type="paragraph" w:styleId="Heading4">
    <w:name w:val="heading 4"/>
    <w:basedOn w:val="Normal"/>
    <w:next w:val="Normal"/>
    <w:uiPriority w:val="9"/>
    <w:unhideWhenUsed/>
    <w:qFormat/>
    <w:rsid w:val="00AF7920"/>
    <w:pPr>
      <w:keepNext/>
      <w:spacing w:before="240" w:after="60"/>
      <w:outlineLvl w:val="3"/>
    </w:pPr>
    <w:rPr>
      <w:rFonts w:eastAsia="Cambria"/>
      <w:b/>
    </w:rPr>
  </w:style>
  <w:style w:type="paragraph" w:styleId="Heading5">
    <w:name w:val="heading 5"/>
    <w:basedOn w:val="Normal"/>
    <w:next w:val="Normal"/>
    <w:uiPriority w:val="9"/>
    <w:semiHidden/>
    <w:unhideWhenUsed/>
    <w:qFormat/>
    <w:pPr>
      <w:spacing w:before="240" w:after="60"/>
      <w:outlineLvl w:val="4"/>
    </w:pPr>
    <w:rPr>
      <w:rFonts w:ascii="Cambria" w:eastAsia="Cambria" w:hAnsi="Cambria" w:cs="Cambria"/>
      <w:b/>
      <w:i/>
      <w:sz w:val="26"/>
      <w:szCs w:val="26"/>
    </w:rPr>
  </w:style>
  <w:style w:type="paragraph" w:styleId="Heading6">
    <w:name w:val="heading 6"/>
    <w:basedOn w:val="Normal"/>
    <w:next w:val="Normal"/>
    <w:uiPriority w:val="9"/>
    <w:semiHidden/>
    <w:unhideWhenUsed/>
    <w:qFormat/>
    <w:pPr>
      <w:spacing w:before="240" w:after="60"/>
      <w:outlineLvl w:val="5"/>
    </w:pPr>
    <w:rPr>
      <w:rFonts w:ascii="Cambria" w:eastAsia="Cambria" w:hAnsi="Cambria" w:cs="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rPr>
      <w:rFonts w:ascii="Times New Roman" w:eastAsia="Times New Roman" w:hAnsi="Times New Roman" w:cs="Times New Roman"/>
      <w:sz w:val="20"/>
      <w:szCs w:val="20"/>
    </w:r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rPr>
      <w:rFonts w:ascii="Times New Roman" w:eastAsia="Times New Roman" w:hAnsi="Times New Roman" w:cs="Times New Roman"/>
      <w:sz w:val="20"/>
      <w:szCs w:val="20"/>
    </w:rPr>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Times New Roman" w:eastAsia="Times New Roman" w:hAnsi="Times New Roman" w:cs="Times New Roman"/>
      <w:sz w:val="20"/>
      <w:szCs w:val="20"/>
    </w:rPr>
    <w:tblPr>
      <w:tblStyleRowBandSize w:val="1"/>
      <w:tblStyleColBandSize w:val="1"/>
    </w:tblPr>
  </w:style>
  <w:style w:type="table" w:customStyle="1" w:styleId="af4">
    <w:basedOn w:val="TableNormal"/>
    <w:rPr>
      <w:rFonts w:ascii="Times New Roman" w:eastAsia="Times New Roman" w:hAnsi="Times New Roman" w:cs="Times New Roman"/>
      <w:sz w:val="20"/>
      <w:szCs w:val="20"/>
    </w:rPr>
    <w:tblPr>
      <w:tblStyleRowBandSize w:val="1"/>
      <w:tblStyleColBandSize w:val="1"/>
    </w:tblPr>
  </w:style>
  <w:style w:type="table" w:customStyle="1" w:styleId="af5">
    <w:basedOn w:val="TableNormal"/>
    <w:rPr>
      <w:rFonts w:ascii="Times New Roman" w:eastAsia="Times New Roman" w:hAnsi="Times New Roman" w:cs="Times New Roman"/>
      <w:sz w:val="20"/>
      <w:szCs w:val="20"/>
    </w:rPr>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rFonts w:ascii="Times New Roman" w:eastAsia="Times New Roman" w:hAnsi="Times New Roman" w:cs="Times New Roman"/>
      <w:sz w:val="20"/>
      <w:szCs w:val="20"/>
    </w:rPr>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D711D"/>
    <w:rPr>
      <w:b/>
      <w:bCs/>
    </w:rPr>
  </w:style>
  <w:style w:type="character" w:customStyle="1" w:styleId="CommentSubjectChar">
    <w:name w:val="Comment Subject Char"/>
    <w:basedOn w:val="CommentTextChar"/>
    <w:link w:val="CommentSubject"/>
    <w:uiPriority w:val="99"/>
    <w:semiHidden/>
    <w:rsid w:val="006D711D"/>
    <w:rPr>
      <w:b/>
      <w:bCs/>
      <w:sz w:val="20"/>
      <w:szCs w:val="20"/>
    </w:rPr>
  </w:style>
  <w:style w:type="paragraph" w:styleId="Revision">
    <w:name w:val="Revision"/>
    <w:hidden/>
    <w:uiPriority w:val="99"/>
    <w:semiHidden/>
    <w:rsid w:val="006D711D"/>
    <w:pPr>
      <w:spacing w:before="0" w:after="0" w:line="240" w:lineRule="auto"/>
    </w:pPr>
  </w:style>
  <w:style w:type="paragraph" w:styleId="ListParagraph">
    <w:name w:val="List Paragraph"/>
    <w:basedOn w:val="Normal"/>
    <w:uiPriority w:val="34"/>
    <w:qFormat/>
    <w:rsid w:val="007F28A5"/>
    <w:pPr>
      <w:ind w:left="720"/>
      <w:contextualSpacing/>
    </w:pPr>
  </w:style>
  <w:style w:type="paragraph" w:styleId="Header">
    <w:name w:val="header"/>
    <w:basedOn w:val="Normal"/>
    <w:link w:val="HeaderChar"/>
    <w:uiPriority w:val="99"/>
    <w:unhideWhenUsed/>
    <w:rsid w:val="009C05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C0578"/>
  </w:style>
  <w:style w:type="paragraph" w:styleId="Footer">
    <w:name w:val="footer"/>
    <w:basedOn w:val="Normal"/>
    <w:link w:val="FooterChar"/>
    <w:uiPriority w:val="99"/>
    <w:unhideWhenUsed/>
    <w:rsid w:val="009C05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C0578"/>
  </w:style>
  <w:style w:type="paragraph" w:styleId="TOC1">
    <w:name w:val="toc 1"/>
    <w:basedOn w:val="Normal"/>
    <w:next w:val="Normal"/>
    <w:autoRedefine/>
    <w:uiPriority w:val="39"/>
    <w:unhideWhenUsed/>
    <w:rsid w:val="00CC5AE7"/>
    <w:pPr>
      <w:tabs>
        <w:tab w:val="left" w:pos="440"/>
        <w:tab w:val="right" w:pos="8496"/>
      </w:tabs>
      <w:spacing w:after="100"/>
    </w:pPr>
  </w:style>
  <w:style w:type="paragraph" w:styleId="TOC2">
    <w:name w:val="toc 2"/>
    <w:basedOn w:val="Normal"/>
    <w:next w:val="Normal"/>
    <w:autoRedefine/>
    <w:uiPriority w:val="39"/>
    <w:unhideWhenUsed/>
    <w:rsid w:val="00C3686A"/>
    <w:pPr>
      <w:spacing w:after="100"/>
      <w:ind w:left="220"/>
    </w:pPr>
  </w:style>
  <w:style w:type="paragraph" w:styleId="TOC3">
    <w:name w:val="toc 3"/>
    <w:basedOn w:val="Normal"/>
    <w:next w:val="Normal"/>
    <w:autoRedefine/>
    <w:uiPriority w:val="39"/>
    <w:unhideWhenUsed/>
    <w:rsid w:val="00C3686A"/>
    <w:pPr>
      <w:spacing w:after="100"/>
      <w:ind w:left="440"/>
    </w:pPr>
  </w:style>
  <w:style w:type="paragraph" w:styleId="TOC4">
    <w:name w:val="toc 4"/>
    <w:basedOn w:val="Normal"/>
    <w:next w:val="Normal"/>
    <w:autoRedefine/>
    <w:uiPriority w:val="39"/>
    <w:unhideWhenUsed/>
    <w:rsid w:val="00C3686A"/>
    <w:pPr>
      <w:spacing w:after="100"/>
      <w:ind w:left="660"/>
    </w:pPr>
  </w:style>
  <w:style w:type="character" w:styleId="Hyperlink">
    <w:name w:val="Hyperlink"/>
    <w:basedOn w:val="DefaultParagraphFont"/>
    <w:uiPriority w:val="99"/>
    <w:unhideWhenUsed/>
    <w:rsid w:val="00C3686A"/>
    <w:rPr>
      <w:color w:val="0000FF" w:themeColor="hyperlink"/>
      <w:u w:val="single"/>
    </w:rPr>
  </w:style>
  <w:style w:type="character" w:styleId="UnresolvedMention">
    <w:name w:val="Unresolved Mention"/>
    <w:basedOn w:val="DefaultParagraphFont"/>
    <w:uiPriority w:val="99"/>
    <w:semiHidden/>
    <w:unhideWhenUsed/>
    <w:rsid w:val="00F460AD"/>
    <w:rPr>
      <w:color w:val="605E5C"/>
      <w:shd w:val="clear" w:color="auto" w:fill="E1DFDD"/>
    </w:rPr>
  </w:style>
  <w:style w:type="table" w:styleId="TableGrid">
    <w:name w:val="Table Grid"/>
    <w:basedOn w:val="TableNormal"/>
    <w:uiPriority w:val="39"/>
    <w:rsid w:val="001F75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1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data-sharing/a-10-step-guide-to-sharing-information-to-safeguard-children/" TargetMode="External"/><Relationship Id="rId18" Type="http://schemas.openxmlformats.org/officeDocument/2006/relationships/hyperlink" Target="https://www.checktls.com/" TargetMode="External"/><Relationship Id="rId3" Type="http://schemas.openxmlformats.org/officeDocument/2006/relationships/customXml" Target="../customXml/item3.xml"/><Relationship Id="rId21" Type="http://schemas.openxmlformats.org/officeDocument/2006/relationships/hyperlink" Target="https://www.gov.uk/government/publications/public-switched-telephone-network-charter/public-switched-telephone-network-charter" TargetMode="External"/><Relationship Id="rId7" Type="http://schemas.openxmlformats.org/officeDocument/2006/relationships/settings" Target="settings.xml"/><Relationship Id="rId12" Type="http://schemas.openxmlformats.org/officeDocument/2006/relationships/hyperlink" Target="https://ico.org.uk/for-organisations/uk-gdpr-guidance-and-resources/data-sharing/data-sharing-a-code-of-practice/annex-a-data-sharing-checklist/"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gov.uk/government/news/new-measures-to-better-protect-vulnerable-customers-agreed-with-telecoms-fi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cjsm.just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a7dc76-ee4f-4bae-a591-a0024164faec">
      <Terms xmlns="http://schemas.microsoft.com/office/infopath/2007/PartnerControls"/>
    </lcf76f155ced4ddcb4097134ff3c332f>
    <TaxCatchAll xmlns="be2d8b33-93e9-4cb7-9123-89740574f838" xsi:nil="true"/>
    <SharedWithUsers xmlns="be2d8b33-93e9-4cb7-9123-89740574f838">
      <UserInfo>
        <DisplayName>Nicola Morton</DisplayName>
        <AccountId>37</AccountId>
        <AccountType/>
      </UserInfo>
      <UserInfo>
        <DisplayName>Greg Burns</DisplayName>
        <AccountId>47</AccountId>
        <AccountType/>
      </UserInfo>
      <UserInfo>
        <DisplayName>Peter Morgan</DisplayName>
        <AccountId>1143</AccountId>
        <AccountType/>
      </UserInfo>
      <UserInfo>
        <DisplayName>Lauren Lucas</DisplayName>
        <AccountId>213</AccountId>
        <AccountType/>
      </UserInfo>
      <UserInfo>
        <DisplayName>Designers</DisplayName>
        <AccountId>13</AccountId>
        <AccountType/>
      </UserInfo>
      <UserInfo>
        <DisplayName>SharingLinks.42799570-b06d-41ec-af69-0cd1f69b44d1.OrganizationEdit.053510ad-3eca-457c-870a-003d5cb282bd</DisplayName>
        <AccountId>970</AccountId>
        <AccountType/>
      </UserInfo>
      <UserInfo>
        <DisplayName>Lynne Morris</DisplayName>
        <AccountId>59</AccountId>
        <AccountType/>
      </UserInfo>
      <UserInfo>
        <DisplayName>Mairead Rooney</DisplayName>
        <AccountId>2129</AccountId>
        <AccountType/>
      </UserInfo>
      <UserInfo>
        <DisplayName>SharingLinks.fb0be15b-e64b-41b1-8586-76b599b4874e.Flexible.fba0627e-1370-4d83-b09e-f5beb1db8272</DisplayName>
        <AccountId>166</AccountId>
        <AccountType/>
      </UserInfo>
      <UserInfo>
        <DisplayName>Edmund Willis</DisplayName>
        <AccountId>320</AccountId>
        <AccountType/>
      </UserInfo>
      <UserInfo>
        <DisplayName>Lu Smith</DisplayName>
        <AccountId>1270</AccountId>
        <AccountType/>
      </UserInfo>
      <UserInfo>
        <DisplayName>Mark Williams</DisplayName>
        <AccountId>911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FF829FA844944BF88D5A27113FA6B" ma:contentTypeVersion="18" ma:contentTypeDescription="Create a new document." ma:contentTypeScope="" ma:versionID="40c11d9dd585769a3bdc38424194db18">
  <xsd:schema xmlns:xsd="http://www.w3.org/2001/XMLSchema" xmlns:xs="http://www.w3.org/2001/XMLSchema" xmlns:p="http://schemas.microsoft.com/office/2006/metadata/properties" xmlns:ns2="c5a7dc76-ee4f-4bae-a591-a0024164faec" xmlns:ns3="be2d8b33-93e9-4cb7-9123-89740574f838" targetNamespace="http://schemas.microsoft.com/office/2006/metadata/properties" ma:root="true" ma:fieldsID="60b941c469316f192d9082caeab78b2a" ns2:_="" ns3:_="">
    <xsd:import namespace="c5a7dc76-ee4f-4bae-a591-a0024164faec"/>
    <xsd:import namespace="be2d8b33-93e9-4cb7-9123-89740574f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7dc76-ee4f-4bae-a591-a0024164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d8b33-93e9-4cb7-9123-89740574f8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5a3c01-0596-43f0-a710-09e72a17d88f}" ma:internalName="TaxCatchAll" ma:showField="CatchAllData" ma:web="be2d8b33-93e9-4cb7-9123-89740574f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 B T _ I M A N A G E ! 2 0 2 2 2 8 2 . 1 < / d o c u m e n t i d >  
     < s e n d e r i d > O L I V I A . S A V A G E @ B T . C O M < / s e n d e r i d >  
     < s e n d e r e m a i l > O L I V I A . S A V A G E @ B T . C O M < / s e n d e r e m a i l >  
     < l a s t m o d i f i e d > 2 0 2 4 - 0 4 - 2 6 T 0 9 : 0 5 : 0 0 . 0 0 0 0 0 0 0 + 0 1 : 0 0 < / l a s t m o d i f i e d >  
     < d a t a b a s e > B T _ I M A N A G E < / d a t a b a s e >  
 < / p r o p e r t i e s > 
</file>

<file path=customXml/itemProps1.xml><?xml version="1.0" encoding="utf-8"?>
<ds:datastoreItem xmlns:ds="http://schemas.openxmlformats.org/officeDocument/2006/customXml" ds:itemID="{18C2186F-CD5D-41C6-9D57-CBA2F10D5F27}">
  <ds:schemaRefs>
    <ds:schemaRef ds:uri="http://schemas.microsoft.com/sharepoint/v3/contenttype/forms"/>
  </ds:schemaRefs>
</ds:datastoreItem>
</file>

<file path=customXml/itemProps2.xml><?xml version="1.0" encoding="utf-8"?>
<ds:datastoreItem xmlns:ds="http://schemas.openxmlformats.org/officeDocument/2006/customXml" ds:itemID="{12095649-61C3-4F7E-99E9-A4088743916F}">
  <ds:schemaRefs>
    <ds:schemaRef ds:uri="http://schemas.microsoft.com/office/2006/metadata/properties"/>
    <ds:schemaRef ds:uri="http://schemas.microsoft.com/office/infopath/2007/PartnerControls"/>
    <ds:schemaRef ds:uri="c5a7dc76-ee4f-4bae-a591-a0024164faec"/>
    <ds:schemaRef ds:uri="be2d8b33-93e9-4cb7-9123-89740574f838"/>
  </ds:schemaRefs>
</ds:datastoreItem>
</file>

<file path=customXml/itemProps3.xml><?xml version="1.0" encoding="utf-8"?>
<ds:datastoreItem xmlns:ds="http://schemas.openxmlformats.org/officeDocument/2006/customXml" ds:itemID="{C8C4F9CA-BF31-443E-93CA-8C5AAAF61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7dc76-ee4f-4bae-a591-a0024164faec"/>
    <ds:schemaRef ds:uri="be2d8b33-93e9-4cb7-9123-89740574f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2077D-9808-45B9-874B-DA181BFB27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6420</Words>
  <Characters>36594</Characters>
  <Application>Microsoft Office Word</Application>
  <DocSecurity>0</DocSecurity>
  <Lines>304</Lines>
  <Paragraphs>85</Paragraphs>
  <ScaleCrop>false</ScaleCrop>
  <Company/>
  <LinksUpToDate>false</LinksUpToDate>
  <CharactersWithSpaces>42929</CharactersWithSpaces>
  <SharedDoc>false</SharedDoc>
  <HLinks>
    <vt:vector size="462" baseType="variant">
      <vt:variant>
        <vt:i4>4128867</vt:i4>
      </vt:variant>
      <vt:variant>
        <vt:i4>441</vt:i4>
      </vt:variant>
      <vt:variant>
        <vt:i4>0</vt:i4>
      </vt:variant>
      <vt:variant>
        <vt:i4>5</vt:i4>
      </vt:variant>
      <vt:variant>
        <vt:lpwstr>https://www.gov.uk/government/publications/public-switched-telephone-network-charter/public-switched-telephone-network-charter</vt:lpwstr>
      </vt:variant>
      <vt:variant>
        <vt:lpwstr/>
      </vt:variant>
      <vt:variant>
        <vt:i4>524303</vt:i4>
      </vt:variant>
      <vt:variant>
        <vt:i4>438</vt:i4>
      </vt:variant>
      <vt:variant>
        <vt:i4>0</vt:i4>
      </vt:variant>
      <vt:variant>
        <vt:i4>5</vt:i4>
      </vt:variant>
      <vt:variant>
        <vt:lpwstr>https://www.gov.uk/government/news/new-measures-to-better-protect-vulnerable-customers-agreed-with-telecoms-firms</vt:lpwstr>
      </vt:variant>
      <vt:variant>
        <vt:lpwstr/>
      </vt:variant>
      <vt:variant>
        <vt:i4>4718616</vt:i4>
      </vt:variant>
      <vt:variant>
        <vt:i4>435</vt:i4>
      </vt:variant>
      <vt:variant>
        <vt:i4>0</vt:i4>
      </vt:variant>
      <vt:variant>
        <vt:i4>5</vt:i4>
      </vt:variant>
      <vt:variant>
        <vt:lpwstr>https://cjsm.justice.gov.uk/</vt:lpwstr>
      </vt:variant>
      <vt:variant>
        <vt:lpwstr/>
      </vt:variant>
      <vt:variant>
        <vt:i4>4849664</vt:i4>
      </vt:variant>
      <vt:variant>
        <vt:i4>432</vt:i4>
      </vt:variant>
      <vt:variant>
        <vt:i4>0</vt:i4>
      </vt:variant>
      <vt:variant>
        <vt:i4>5</vt:i4>
      </vt:variant>
      <vt:variant>
        <vt:lpwstr>https://www.checktls.com/</vt:lpwstr>
      </vt:variant>
      <vt:variant>
        <vt:lpwstr/>
      </vt:variant>
      <vt:variant>
        <vt:i4>6488127</vt:i4>
      </vt:variant>
      <vt:variant>
        <vt:i4>429</vt:i4>
      </vt:variant>
      <vt:variant>
        <vt:i4>0</vt:i4>
      </vt:variant>
      <vt:variant>
        <vt:i4>5</vt:i4>
      </vt:variant>
      <vt:variant>
        <vt:lpwstr>https://www.local.gov.uk/publications/digital-switchover-telecare-checklist</vt:lpwstr>
      </vt:variant>
      <vt:variant>
        <vt:lpwstr/>
      </vt:variant>
      <vt:variant>
        <vt:i4>7602228</vt:i4>
      </vt:variant>
      <vt:variant>
        <vt:i4>426</vt:i4>
      </vt:variant>
      <vt:variant>
        <vt:i4>0</vt:i4>
      </vt:variant>
      <vt:variant>
        <vt:i4>5</vt:i4>
      </vt:variant>
      <vt:variant>
        <vt:lpwstr>https://ico.org.uk/for-organisations/uk-gdpr-guidance-and-resources/data-sharing/a-10-step-guide-to-sharing-information-to-safeguard-children/</vt:lpwstr>
      </vt:variant>
      <vt:variant>
        <vt:lpwstr/>
      </vt:variant>
      <vt:variant>
        <vt:i4>7405612</vt:i4>
      </vt:variant>
      <vt:variant>
        <vt:i4>423</vt:i4>
      </vt:variant>
      <vt:variant>
        <vt:i4>0</vt:i4>
      </vt:variant>
      <vt:variant>
        <vt:i4>5</vt:i4>
      </vt:variant>
      <vt:variant>
        <vt:lpwstr>https://ico.org.uk/for-organisations/uk-gdpr-guidance-and-resources/data-sharing/data-sharing-a-code-of-practice/annex-a-data-sharing-checklist/</vt:lpwstr>
      </vt:variant>
      <vt:variant>
        <vt:lpwstr>:~:text=Check%20whether%20the%20sharing%20is%20justified&amp;text=%E2%98%90%20What%20is%20the%20sharing,the%20issue%20you%20are%20addressing%3F</vt:lpwstr>
      </vt:variant>
      <vt:variant>
        <vt:i4>1179699</vt:i4>
      </vt:variant>
      <vt:variant>
        <vt:i4>416</vt:i4>
      </vt:variant>
      <vt:variant>
        <vt:i4>0</vt:i4>
      </vt:variant>
      <vt:variant>
        <vt:i4>5</vt:i4>
      </vt:variant>
      <vt:variant>
        <vt:lpwstr/>
      </vt:variant>
      <vt:variant>
        <vt:lpwstr>_Toc168982284</vt:lpwstr>
      </vt:variant>
      <vt:variant>
        <vt:i4>1179699</vt:i4>
      </vt:variant>
      <vt:variant>
        <vt:i4>410</vt:i4>
      </vt:variant>
      <vt:variant>
        <vt:i4>0</vt:i4>
      </vt:variant>
      <vt:variant>
        <vt:i4>5</vt:i4>
      </vt:variant>
      <vt:variant>
        <vt:lpwstr/>
      </vt:variant>
      <vt:variant>
        <vt:lpwstr>_Toc168982283</vt:lpwstr>
      </vt:variant>
      <vt:variant>
        <vt:i4>1179699</vt:i4>
      </vt:variant>
      <vt:variant>
        <vt:i4>404</vt:i4>
      </vt:variant>
      <vt:variant>
        <vt:i4>0</vt:i4>
      </vt:variant>
      <vt:variant>
        <vt:i4>5</vt:i4>
      </vt:variant>
      <vt:variant>
        <vt:lpwstr/>
      </vt:variant>
      <vt:variant>
        <vt:lpwstr>_Toc168982282</vt:lpwstr>
      </vt:variant>
      <vt:variant>
        <vt:i4>1179699</vt:i4>
      </vt:variant>
      <vt:variant>
        <vt:i4>398</vt:i4>
      </vt:variant>
      <vt:variant>
        <vt:i4>0</vt:i4>
      </vt:variant>
      <vt:variant>
        <vt:i4>5</vt:i4>
      </vt:variant>
      <vt:variant>
        <vt:lpwstr/>
      </vt:variant>
      <vt:variant>
        <vt:lpwstr>_Toc168982281</vt:lpwstr>
      </vt:variant>
      <vt:variant>
        <vt:i4>1179699</vt:i4>
      </vt:variant>
      <vt:variant>
        <vt:i4>392</vt:i4>
      </vt:variant>
      <vt:variant>
        <vt:i4>0</vt:i4>
      </vt:variant>
      <vt:variant>
        <vt:i4>5</vt:i4>
      </vt:variant>
      <vt:variant>
        <vt:lpwstr/>
      </vt:variant>
      <vt:variant>
        <vt:lpwstr>_Toc168982280</vt:lpwstr>
      </vt:variant>
      <vt:variant>
        <vt:i4>1900595</vt:i4>
      </vt:variant>
      <vt:variant>
        <vt:i4>386</vt:i4>
      </vt:variant>
      <vt:variant>
        <vt:i4>0</vt:i4>
      </vt:variant>
      <vt:variant>
        <vt:i4>5</vt:i4>
      </vt:variant>
      <vt:variant>
        <vt:lpwstr/>
      </vt:variant>
      <vt:variant>
        <vt:lpwstr>_Toc168982279</vt:lpwstr>
      </vt:variant>
      <vt:variant>
        <vt:i4>1900595</vt:i4>
      </vt:variant>
      <vt:variant>
        <vt:i4>380</vt:i4>
      </vt:variant>
      <vt:variant>
        <vt:i4>0</vt:i4>
      </vt:variant>
      <vt:variant>
        <vt:i4>5</vt:i4>
      </vt:variant>
      <vt:variant>
        <vt:lpwstr/>
      </vt:variant>
      <vt:variant>
        <vt:lpwstr>_Toc168982278</vt:lpwstr>
      </vt:variant>
      <vt:variant>
        <vt:i4>1900595</vt:i4>
      </vt:variant>
      <vt:variant>
        <vt:i4>374</vt:i4>
      </vt:variant>
      <vt:variant>
        <vt:i4>0</vt:i4>
      </vt:variant>
      <vt:variant>
        <vt:i4>5</vt:i4>
      </vt:variant>
      <vt:variant>
        <vt:lpwstr/>
      </vt:variant>
      <vt:variant>
        <vt:lpwstr>_Toc168982277</vt:lpwstr>
      </vt:variant>
      <vt:variant>
        <vt:i4>1900595</vt:i4>
      </vt:variant>
      <vt:variant>
        <vt:i4>368</vt:i4>
      </vt:variant>
      <vt:variant>
        <vt:i4>0</vt:i4>
      </vt:variant>
      <vt:variant>
        <vt:i4>5</vt:i4>
      </vt:variant>
      <vt:variant>
        <vt:lpwstr/>
      </vt:variant>
      <vt:variant>
        <vt:lpwstr>_Toc168982276</vt:lpwstr>
      </vt:variant>
      <vt:variant>
        <vt:i4>1900595</vt:i4>
      </vt:variant>
      <vt:variant>
        <vt:i4>362</vt:i4>
      </vt:variant>
      <vt:variant>
        <vt:i4>0</vt:i4>
      </vt:variant>
      <vt:variant>
        <vt:i4>5</vt:i4>
      </vt:variant>
      <vt:variant>
        <vt:lpwstr/>
      </vt:variant>
      <vt:variant>
        <vt:lpwstr>_Toc168982275</vt:lpwstr>
      </vt:variant>
      <vt:variant>
        <vt:i4>1900595</vt:i4>
      </vt:variant>
      <vt:variant>
        <vt:i4>356</vt:i4>
      </vt:variant>
      <vt:variant>
        <vt:i4>0</vt:i4>
      </vt:variant>
      <vt:variant>
        <vt:i4>5</vt:i4>
      </vt:variant>
      <vt:variant>
        <vt:lpwstr/>
      </vt:variant>
      <vt:variant>
        <vt:lpwstr>_Toc168982274</vt:lpwstr>
      </vt:variant>
      <vt:variant>
        <vt:i4>1900595</vt:i4>
      </vt:variant>
      <vt:variant>
        <vt:i4>350</vt:i4>
      </vt:variant>
      <vt:variant>
        <vt:i4>0</vt:i4>
      </vt:variant>
      <vt:variant>
        <vt:i4>5</vt:i4>
      </vt:variant>
      <vt:variant>
        <vt:lpwstr/>
      </vt:variant>
      <vt:variant>
        <vt:lpwstr>_Toc168982273</vt:lpwstr>
      </vt:variant>
      <vt:variant>
        <vt:i4>1900595</vt:i4>
      </vt:variant>
      <vt:variant>
        <vt:i4>344</vt:i4>
      </vt:variant>
      <vt:variant>
        <vt:i4>0</vt:i4>
      </vt:variant>
      <vt:variant>
        <vt:i4>5</vt:i4>
      </vt:variant>
      <vt:variant>
        <vt:lpwstr/>
      </vt:variant>
      <vt:variant>
        <vt:lpwstr>_Toc168982272</vt:lpwstr>
      </vt:variant>
      <vt:variant>
        <vt:i4>1900595</vt:i4>
      </vt:variant>
      <vt:variant>
        <vt:i4>338</vt:i4>
      </vt:variant>
      <vt:variant>
        <vt:i4>0</vt:i4>
      </vt:variant>
      <vt:variant>
        <vt:i4>5</vt:i4>
      </vt:variant>
      <vt:variant>
        <vt:lpwstr/>
      </vt:variant>
      <vt:variant>
        <vt:lpwstr>_Toc168982271</vt:lpwstr>
      </vt:variant>
      <vt:variant>
        <vt:i4>1900595</vt:i4>
      </vt:variant>
      <vt:variant>
        <vt:i4>332</vt:i4>
      </vt:variant>
      <vt:variant>
        <vt:i4>0</vt:i4>
      </vt:variant>
      <vt:variant>
        <vt:i4>5</vt:i4>
      </vt:variant>
      <vt:variant>
        <vt:lpwstr/>
      </vt:variant>
      <vt:variant>
        <vt:lpwstr>_Toc168982270</vt:lpwstr>
      </vt:variant>
      <vt:variant>
        <vt:i4>1835059</vt:i4>
      </vt:variant>
      <vt:variant>
        <vt:i4>326</vt:i4>
      </vt:variant>
      <vt:variant>
        <vt:i4>0</vt:i4>
      </vt:variant>
      <vt:variant>
        <vt:i4>5</vt:i4>
      </vt:variant>
      <vt:variant>
        <vt:lpwstr/>
      </vt:variant>
      <vt:variant>
        <vt:lpwstr>_Toc168982269</vt:lpwstr>
      </vt:variant>
      <vt:variant>
        <vt:i4>1835059</vt:i4>
      </vt:variant>
      <vt:variant>
        <vt:i4>320</vt:i4>
      </vt:variant>
      <vt:variant>
        <vt:i4>0</vt:i4>
      </vt:variant>
      <vt:variant>
        <vt:i4>5</vt:i4>
      </vt:variant>
      <vt:variant>
        <vt:lpwstr/>
      </vt:variant>
      <vt:variant>
        <vt:lpwstr>_Toc168982268</vt:lpwstr>
      </vt:variant>
      <vt:variant>
        <vt:i4>1835059</vt:i4>
      </vt:variant>
      <vt:variant>
        <vt:i4>314</vt:i4>
      </vt:variant>
      <vt:variant>
        <vt:i4>0</vt:i4>
      </vt:variant>
      <vt:variant>
        <vt:i4>5</vt:i4>
      </vt:variant>
      <vt:variant>
        <vt:lpwstr/>
      </vt:variant>
      <vt:variant>
        <vt:lpwstr>_Toc168982267</vt:lpwstr>
      </vt:variant>
      <vt:variant>
        <vt:i4>1835059</vt:i4>
      </vt:variant>
      <vt:variant>
        <vt:i4>308</vt:i4>
      </vt:variant>
      <vt:variant>
        <vt:i4>0</vt:i4>
      </vt:variant>
      <vt:variant>
        <vt:i4>5</vt:i4>
      </vt:variant>
      <vt:variant>
        <vt:lpwstr/>
      </vt:variant>
      <vt:variant>
        <vt:lpwstr>_Toc168982266</vt:lpwstr>
      </vt:variant>
      <vt:variant>
        <vt:i4>1835059</vt:i4>
      </vt:variant>
      <vt:variant>
        <vt:i4>302</vt:i4>
      </vt:variant>
      <vt:variant>
        <vt:i4>0</vt:i4>
      </vt:variant>
      <vt:variant>
        <vt:i4>5</vt:i4>
      </vt:variant>
      <vt:variant>
        <vt:lpwstr/>
      </vt:variant>
      <vt:variant>
        <vt:lpwstr>_Toc168982265</vt:lpwstr>
      </vt:variant>
      <vt:variant>
        <vt:i4>1835059</vt:i4>
      </vt:variant>
      <vt:variant>
        <vt:i4>296</vt:i4>
      </vt:variant>
      <vt:variant>
        <vt:i4>0</vt:i4>
      </vt:variant>
      <vt:variant>
        <vt:i4>5</vt:i4>
      </vt:variant>
      <vt:variant>
        <vt:lpwstr/>
      </vt:variant>
      <vt:variant>
        <vt:lpwstr>_Toc168982264</vt:lpwstr>
      </vt:variant>
      <vt:variant>
        <vt:i4>1835059</vt:i4>
      </vt:variant>
      <vt:variant>
        <vt:i4>290</vt:i4>
      </vt:variant>
      <vt:variant>
        <vt:i4>0</vt:i4>
      </vt:variant>
      <vt:variant>
        <vt:i4>5</vt:i4>
      </vt:variant>
      <vt:variant>
        <vt:lpwstr/>
      </vt:variant>
      <vt:variant>
        <vt:lpwstr>_Toc168982263</vt:lpwstr>
      </vt:variant>
      <vt:variant>
        <vt:i4>1835059</vt:i4>
      </vt:variant>
      <vt:variant>
        <vt:i4>284</vt:i4>
      </vt:variant>
      <vt:variant>
        <vt:i4>0</vt:i4>
      </vt:variant>
      <vt:variant>
        <vt:i4>5</vt:i4>
      </vt:variant>
      <vt:variant>
        <vt:lpwstr/>
      </vt:variant>
      <vt:variant>
        <vt:lpwstr>_Toc168982262</vt:lpwstr>
      </vt:variant>
      <vt:variant>
        <vt:i4>1835059</vt:i4>
      </vt:variant>
      <vt:variant>
        <vt:i4>278</vt:i4>
      </vt:variant>
      <vt:variant>
        <vt:i4>0</vt:i4>
      </vt:variant>
      <vt:variant>
        <vt:i4>5</vt:i4>
      </vt:variant>
      <vt:variant>
        <vt:lpwstr/>
      </vt:variant>
      <vt:variant>
        <vt:lpwstr>_Toc168982261</vt:lpwstr>
      </vt:variant>
      <vt:variant>
        <vt:i4>1835059</vt:i4>
      </vt:variant>
      <vt:variant>
        <vt:i4>272</vt:i4>
      </vt:variant>
      <vt:variant>
        <vt:i4>0</vt:i4>
      </vt:variant>
      <vt:variant>
        <vt:i4>5</vt:i4>
      </vt:variant>
      <vt:variant>
        <vt:lpwstr/>
      </vt:variant>
      <vt:variant>
        <vt:lpwstr>_Toc168982260</vt:lpwstr>
      </vt:variant>
      <vt:variant>
        <vt:i4>2031667</vt:i4>
      </vt:variant>
      <vt:variant>
        <vt:i4>266</vt:i4>
      </vt:variant>
      <vt:variant>
        <vt:i4>0</vt:i4>
      </vt:variant>
      <vt:variant>
        <vt:i4>5</vt:i4>
      </vt:variant>
      <vt:variant>
        <vt:lpwstr/>
      </vt:variant>
      <vt:variant>
        <vt:lpwstr>_Toc168982259</vt:lpwstr>
      </vt:variant>
      <vt:variant>
        <vt:i4>2031667</vt:i4>
      </vt:variant>
      <vt:variant>
        <vt:i4>260</vt:i4>
      </vt:variant>
      <vt:variant>
        <vt:i4>0</vt:i4>
      </vt:variant>
      <vt:variant>
        <vt:i4>5</vt:i4>
      </vt:variant>
      <vt:variant>
        <vt:lpwstr/>
      </vt:variant>
      <vt:variant>
        <vt:lpwstr>_Toc168982258</vt:lpwstr>
      </vt:variant>
      <vt:variant>
        <vt:i4>2031667</vt:i4>
      </vt:variant>
      <vt:variant>
        <vt:i4>254</vt:i4>
      </vt:variant>
      <vt:variant>
        <vt:i4>0</vt:i4>
      </vt:variant>
      <vt:variant>
        <vt:i4>5</vt:i4>
      </vt:variant>
      <vt:variant>
        <vt:lpwstr/>
      </vt:variant>
      <vt:variant>
        <vt:lpwstr>_Toc168982257</vt:lpwstr>
      </vt:variant>
      <vt:variant>
        <vt:i4>2031667</vt:i4>
      </vt:variant>
      <vt:variant>
        <vt:i4>248</vt:i4>
      </vt:variant>
      <vt:variant>
        <vt:i4>0</vt:i4>
      </vt:variant>
      <vt:variant>
        <vt:i4>5</vt:i4>
      </vt:variant>
      <vt:variant>
        <vt:lpwstr/>
      </vt:variant>
      <vt:variant>
        <vt:lpwstr>_Toc168982256</vt:lpwstr>
      </vt:variant>
      <vt:variant>
        <vt:i4>2031667</vt:i4>
      </vt:variant>
      <vt:variant>
        <vt:i4>242</vt:i4>
      </vt:variant>
      <vt:variant>
        <vt:i4>0</vt:i4>
      </vt:variant>
      <vt:variant>
        <vt:i4>5</vt:i4>
      </vt:variant>
      <vt:variant>
        <vt:lpwstr/>
      </vt:variant>
      <vt:variant>
        <vt:lpwstr>_Toc168982255</vt:lpwstr>
      </vt:variant>
      <vt:variant>
        <vt:i4>2031667</vt:i4>
      </vt:variant>
      <vt:variant>
        <vt:i4>236</vt:i4>
      </vt:variant>
      <vt:variant>
        <vt:i4>0</vt:i4>
      </vt:variant>
      <vt:variant>
        <vt:i4>5</vt:i4>
      </vt:variant>
      <vt:variant>
        <vt:lpwstr/>
      </vt:variant>
      <vt:variant>
        <vt:lpwstr>_Toc168982254</vt:lpwstr>
      </vt:variant>
      <vt:variant>
        <vt:i4>2031667</vt:i4>
      </vt:variant>
      <vt:variant>
        <vt:i4>230</vt:i4>
      </vt:variant>
      <vt:variant>
        <vt:i4>0</vt:i4>
      </vt:variant>
      <vt:variant>
        <vt:i4>5</vt:i4>
      </vt:variant>
      <vt:variant>
        <vt:lpwstr/>
      </vt:variant>
      <vt:variant>
        <vt:lpwstr>_Toc168982253</vt:lpwstr>
      </vt:variant>
      <vt:variant>
        <vt:i4>2031667</vt:i4>
      </vt:variant>
      <vt:variant>
        <vt:i4>224</vt:i4>
      </vt:variant>
      <vt:variant>
        <vt:i4>0</vt:i4>
      </vt:variant>
      <vt:variant>
        <vt:i4>5</vt:i4>
      </vt:variant>
      <vt:variant>
        <vt:lpwstr/>
      </vt:variant>
      <vt:variant>
        <vt:lpwstr>_Toc168982252</vt:lpwstr>
      </vt:variant>
      <vt:variant>
        <vt:i4>2031667</vt:i4>
      </vt:variant>
      <vt:variant>
        <vt:i4>218</vt:i4>
      </vt:variant>
      <vt:variant>
        <vt:i4>0</vt:i4>
      </vt:variant>
      <vt:variant>
        <vt:i4>5</vt:i4>
      </vt:variant>
      <vt:variant>
        <vt:lpwstr/>
      </vt:variant>
      <vt:variant>
        <vt:lpwstr>_Toc168982251</vt:lpwstr>
      </vt:variant>
      <vt:variant>
        <vt:i4>2031667</vt:i4>
      </vt:variant>
      <vt:variant>
        <vt:i4>212</vt:i4>
      </vt:variant>
      <vt:variant>
        <vt:i4>0</vt:i4>
      </vt:variant>
      <vt:variant>
        <vt:i4>5</vt:i4>
      </vt:variant>
      <vt:variant>
        <vt:lpwstr/>
      </vt:variant>
      <vt:variant>
        <vt:lpwstr>_Toc168982250</vt:lpwstr>
      </vt:variant>
      <vt:variant>
        <vt:i4>1966131</vt:i4>
      </vt:variant>
      <vt:variant>
        <vt:i4>206</vt:i4>
      </vt:variant>
      <vt:variant>
        <vt:i4>0</vt:i4>
      </vt:variant>
      <vt:variant>
        <vt:i4>5</vt:i4>
      </vt:variant>
      <vt:variant>
        <vt:lpwstr/>
      </vt:variant>
      <vt:variant>
        <vt:lpwstr>_Toc168982249</vt:lpwstr>
      </vt:variant>
      <vt:variant>
        <vt:i4>1966131</vt:i4>
      </vt:variant>
      <vt:variant>
        <vt:i4>200</vt:i4>
      </vt:variant>
      <vt:variant>
        <vt:i4>0</vt:i4>
      </vt:variant>
      <vt:variant>
        <vt:i4>5</vt:i4>
      </vt:variant>
      <vt:variant>
        <vt:lpwstr/>
      </vt:variant>
      <vt:variant>
        <vt:lpwstr>_Toc168982248</vt:lpwstr>
      </vt:variant>
      <vt:variant>
        <vt:i4>1966131</vt:i4>
      </vt:variant>
      <vt:variant>
        <vt:i4>194</vt:i4>
      </vt:variant>
      <vt:variant>
        <vt:i4>0</vt:i4>
      </vt:variant>
      <vt:variant>
        <vt:i4>5</vt:i4>
      </vt:variant>
      <vt:variant>
        <vt:lpwstr/>
      </vt:variant>
      <vt:variant>
        <vt:lpwstr>_Toc168982247</vt:lpwstr>
      </vt:variant>
      <vt:variant>
        <vt:i4>1966131</vt:i4>
      </vt:variant>
      <vt:variant>
        <vt:i4>188</vt:i4>
      </vt:variant>
      <vt:variant>
        <vt:i4>0</vt:i4>
      </vt:variant>
      <vt:variant>
        <vt:i4>5</vt:i4>
      </vt:variant>
      <vt:variant>
        <vt:lpwstr/>
      </vt:variant>
      <vt:variant>
        <vt:lpwstr>_Toc168982246</vt:lpwstr>
      </vt:variant>
      <vt:variant>
        <vt:i4>1966131</vt:i4>
      </vt:variant>
      <vt:variant>
        <vt:i4>182</vt:i4>
      </vt:variant>
      <vt:variant>
        <vt:i4>0</vt:i4>
      </vt:variant>
      <vt:variant>
        <vt:i4>5</vt:i4>
      </vt:variant>
      <vt:variant>
        <vt:lpwstr/>
      </vt:variant>
      <vt:variant>
        <vt:lpwstr>_Toc168982245</vt:lpwstr>
      </vt:variant>
      <vt:variant>
        <vt:i4>1966131</vt:i4>
      </vt:variant>
      <vt:variant>
        <vt:i4>176</vt:i4>
      </vt:variant>
      <vt:variant>
        <vt:i4>0</vt:i4>
      </vt:variant>
      <vt:variant>
        <vt:i4>5</vt:i4>
      </vt:variant>
      <vt:variant>
        <vt:lpwstr/>
      </vt:variant>
      <vt:variant>
        <vt:lpwstr>_Toc168982244</vt:lpwstr>
      </vt:variant>
      <vt:variant>
        <vt:i4>1966131</vt:i4>
      </vt:variant>
      <vt:variant>
        <vt:i4>170</vt:i4>
      </vt:variant>
      <vt:variant>
        <vt:i4>0</vt:i4>
      </vt:variant>
      <vt:variant>
        <vt:i4>5</vt:i4>
      </vt:variant>
      <vt:variant>
        <vt:lpwstr/>
      </vt:variant>
      <vt:variant>
        <vt:lpwstr>_Toc168982243</vt:lpwstr>
      </vt:variant>
      <vt:variant>
        <vt:i4>1966131</vt:i4>
      </vt:variant>
      <vt:variant>
        <vt:i4>164</vt:i4>
      </vt:variant>
      <vt:variant>
        <vt:i4>0</vt:i4>
      </vt:variant>
      <vt:variant>
        <vt:i4>5</vt:i4>
      </vt:variant>
      <vt:variant>
        <vt:lpwstr/>
      </vt:variant>
      <vt:variant>
        <vt:lpwstr>_Toc168982242</vt:lpwstr>
      </vt:variant>
      <vt:variant>
        <vt:i4>1966131</vt:i4>
      </vt:variant>
      <vt:variant>
        <vt:i4>158</vt:i4>
      </vt:variant>
      <vt:variant>
        <vt:i4>0</vt:i4>
      </vt:variant>
      <vt:variant>
        <vt:i4>5</vt:i4>
      </vt:variant>
      <vt:variant>
        <vt:lpwstr/>
      </vt:variant>
      <vt:variant>
        <vt:lpwstr>_Toc168982241</vt:lpwstr>
      </vt:variant>
      <vt:variant>
        <vt:i4>1966131</vt:i4>
      </vt:variant>
      <vt:variant>
        <vt:i4>152</vt:i4>
      </vt:variant>
      <vt:variant>
        <vt:i4>0</vt:i4>
      </vt:variant>
      <vt:variant>
        <vt:i4>5</vt:i4>
      </vt:variant>
      <vt:variant>
        <vt:lpwstr/>
      </vt:variant>
      <vt:variant>
        <vt:lpwstr>_Toc168982240</vt:lpwstr>
      </vt:variant>
      <vt:variant>
        <vt:i4>1638451</vt:i4>
      </vt:variant>
      <vt:variant>
        <vt:i4>146</vt:i4>
      </vt:variant>
      <vt:variant>
        <vt:i4>0</vt:i4>
      </vt:variant>
      <vt:variant>
        <vt:i4>5</vt:i4>
      </vt:variant>
      <vt:variant>
        <vt:lpwstr/>
      </vt:variant>
      <vt:variant>
        <vt:lpwstr>_Toc168982239</vt:lpwstr>
      </vt:variant>
      <vt:variant>
        <vt:i4>1638451</vt:i4>
      </vt:variant>
      <vt:variant>
        <vt:i4>140</vt:i4>
      </vt:variant>
      <vt:variant>
        <vt:i4>0</vt:i4>
      </vt:variant>
      <vt:variant>
        <vt:i4>5</vt:i4>
      </vt:variant>
      <vt:variant>
        <vt:lpwstr/>
      </vt:variant>
      <vt:variant>
        <vt:lpwstr>_Toc168982238</vt:lpwstr>
      </vt:variant>
      <vt:variant>
        <vt:i4>1638451</vt:i4>
      </vt:variant>
      <vt:variant>
        <vt:i4>134</vt:i4>
      </vt:variant>
      <vt:variant>
        <vt:i4>0</vt:i4>
      </vt:variant>
      <vt:variant>
        <vt:i4>5</vt:i4>
      </vt:variant>
      <vt:variant>
        <vt:lpwstr/>
      </vt:variant>
      <vt:variant>
        <vt:lpwstr>_Toc168982237</vt:lpwstr>
      </vt:variant>
      <vt:variant>
        <vt:i4>1638451</vt:i4>
      </vt:variant>
      <vt:variant>
        <vt:i4>128</vt:i4>
      </vt:variant>
      <vt:variant>
        <vt:i4>0</vt:i4>
      </vt:variant>
      <vt:variant>
        <vt:i4>5</vt:i4>
      </vt:variant>
      <vt:variant>
        <vt:lpwstr/>
      </vt:variant>
      <vt:variant>
        <vt:lpwstr>_Toc168982236</vt:lpwstr>
      </vt:variant>
      <vt:variant>
        <vt:i4>1638451</vt:i4>
      </vt:variant>
      <vt:variant>
        <vt:i4>122</vt:i4>
      </vt:variant>
      <vt:variant>
        <vt:i4>0</vt:i4>
      </vt:variant>
      <vt:variant>
        <vt:i4>5</vt:i4>
      </vt:variant>
      <vt:variant>
        <vt:lpwstr/>
      </vt:variant>
      <vt:variant>
        <vt:lpwstr>_Toc168982235</vt:lpwstr>
      </vt:variant>
      <vt:variant>
        <vt:i4>1638451</vt:i4>
      </vt:variant>
      <vt:variant>
        <vt:i4>116</vt:i4>
      </vt:variant>
      <vt:variant>
        <vt:i4>0</vt:i4>
      </vt:variant>
      <vt:variant>
        <vt:i4>5</vt:i4>
      </vt:variant>
      <vt:variant>
        <vt:lpwstr/>
      </vt:variant>
      <vt:variant>
        <vt:lpwstr>_Toc168982234</vt:lpwstr>
      </vt:variant>
      <vt:variant>
        <vt:i4>1638451</vt:i4>
      </vt:variant>
      <vt:variant>
        <vt:i4>110</vt:i4>
      </vt:variant>
      <vt:variant>
        <vt:i4>0</vt:i4>
      </vt:variant>
      <vt:variant>
        <vt:i4>5</vt:i4>
      </vt:variant>
      <vt:variant>
        <vt:lpwstr/>
      </vt:variant>
      <vt:variant>
        <vt:lpwstr>_Toc168982233</vt:lpwstr>
      </vt:variant>
      <vt:variant>
        <vt:i4>1638451</vt:i4>
      </vt:variant>
      <vt:variant>
        <vt:i4>104</vt:i4>
      </vt:variant>
      <vt:variant>
        <vt:i4>0</vt:i4>
      </vt:variant>
      <vt:variant>
        <vt:i4>5</vt:i4>
      </vt:variant>
      <vt:variant>
        <vt:lpwstr/>
      </vt:variant>
      <vt:variant>
        <vt:lpwstr>_Toc168982232</vt:lpwstr>
      </vt:variant>
      <vt:variant>
        <vt:i4>1638451</vt:i4>
      </vt:variant>
      <vt:variant>
        <vt:i4>98</vt:i4>
      </vt:variant>
      <vt:variant>
        <vt:i4>0</vt:i4>
      </vt:variant>
      <vt:variant>
        <vt:i4>5</vt:i4>
      </vt:variant>
      <vt:variant>
        <vt:lpwstr/>
      </vt:variant>
      <vt:variant>
        <vt:lpwstr>_Toc168982231</vt:lpwstr>
      </vt:variant>
      <vt:variant>
        <vt:i4>1638451</vt:i4>
      </vt:variant>
      <vt:variant>
        <vt:i4>92</vt:i4>
      </vt:variant>
      <vt:variant>
        <vt:i4>0</vt:i4>
      </vt:variant>
      <vt:variant>
        <vt:i4>5</vt:i4>
      </vt:variant>
      <vt:variant>
        <vt:lpwstr/>
      </vt:variant>
      <vt:variant>
        <vt:lpwstr>_Toc168982230</vt:lpwstr>
      </vt:variant>
      <vt:variant>
        <vt:i4>1572915</vt:i4>
      </vt:variant>
      <vt:variant>
        <vt:i4>86</vt:i4>
      </vt:variant>
      <vt:variant>
        <vt:i4>0</vt:i4>
      </vt:variant>
      <vt:variant>
        <vt:i4>5</vt:i4>
      </vt:variant>
      <vt:variant>
        <vt:lpwstr/>
      </vt:variant>
      <vt:variant>
        <vt:lpwstr>_Toc168982229</vt:lpwstr>
      </vt:variant>
      <vt:variant>
        <vt:i4>1572915</vt:i4>
      </vt:variant>
      <vt:variant>
        <vt:i4>80</vt:i4>
      </vt:variant>
      <vt:variant>
        <vt:i4>0</vt:i4>
      </vt:variant>
      <vt:variant>
        <vt:i4>5</vt:i4>
      </vt:variant>
      <vt:variant>
        <vt:lpwstr/>
      </vt:variant>
      <vt:variant>
        <vt:lpwstr>_Toc168982228</vt:lpwstr>
      </vt:variant>
      <vt:variant>
        <vt:i4>1572915</vt:i4>
      </vt:variant>
      <vt:variant>
        <vt:i4>74</vt:i4>
      </vt:variant>
      <vt:variant>
        <vt:i4>0</vt:i4>
      </vt:variant>
      <vt:variant>
        <vt:i4>5</vt:i4>
      </vt:variant>
      <vt:variant>
        <vt:lpwstr/>
      </vt:variant>
      <vt:variant>
        <vt:lpwstr>_Toc168982227</vt:lpwstr>
      </vt:variant>
      <vt:variant>
        <vt:i4>1572915</vt:i4>
      </vt:variant>
      <vt:variant>
        <vt:i4>68</vt:i4>
      </vt:variant>
      <vt:variant>
        <vt:i4>0</vt:i4>
      </vt:variant>
      <vt:variant>
        <vt:i4>5</vt:i4>
      </vt:variant>
      <vt:variant>
        <vt:lpwstr/>
      </vt:variant>
      <vt:variant>
        <vt:lpwstr>_Toc168982226</vt:lpwstr>
      </vt:variant>
      <vt:variant>
        <vt:i4>1572915</vt:i4>
      </vt:variant>
      <vt:variant>
        <vt:i4>62</vt:i4>
      </vt:variant>
      <vt:variant>
        <vt:i4>0</vt:i4>
      </vt:variant>
      <vt:variant>
        <vt:i4>5</vt:i4>
      </vt:variant>
      <vt:variant>
        <vt:lpwstr/>
      </vt:variant>
      <vt:variant>
        <vt:lpwstr>_Toc168982225</vt:lpwstr>
      </vt:variant>
      <vt:variant>
        <vt:i4>1572915</vt:i4>
      </vt:variant>
      <vt:variant>
        <vt:i4>56</vt:i4>
      </vt:variant>
      <vt:variant>
        <vt:i4>0</vt:i4>
      </vt:variant>
      <vt:variant>
        <vt:i4>5</vt:i4>
      </vt:variant>
      <vt:variant>
        <vt:lpwstr/>
      </vt:variant>
      <vt:variant>
        <vt:lpwstr>_Toc168982224</vt:lpwstr>
      </vt:variant>
      <vt:variant>
        <vt:i4>1572915</vt:i4>
      </vt:variant>
      <vt:variant>
        <vt:i4>50</vt:i4>
      </vt:variant>
      <vt:variant>
        <vt:i4>0</vt:i4>
      </vt:variant>
      <vt:variant>
        <vt:i4>5</vt:i4>
      </vt:variant>
      <vt:variant>
        <vt:lpwstr/>
      </vt:variant>
      <vt:variant>
        <vt:lpwstr>_Toc168982223</vt:lpwstr>
      </vt:variant>
      <vt:variant>
        <vt:i4>1572915</vt:i4>
      </vt:variant>
      <vt:variant>
        <vt:i4>44</vt:i4>
      </vt:variant>
      <vt:variant>
        <vt:i4>0</vt:i4>
      </vt:variant>
      <vt:variant>
        <vt:i4>5</vt:i4>
      </vt:variant>
      <vt:variant>
        <vt:lpwstr/>
      </vt:variant>
      <vt:variant>
        <vt:lpwstr>_Toc168982222</vt:lpwstr>
      </vt:variant>
      <vt:variant>
        <vt:i4>1572915</vt:i4>
      </vt:variant>
      <vt:variant>
        <vt:i4>38</vt:i4>
      </vt:variant>
      <vt:variant>
        <vt:i4>0</vt:i4>
      </vt:variant>
      <vt:variant>
        <vt:i4>5</vt:i4>
      </vt:variant>
      <vt:variant>
        <vt:lpwstr/>
      </vt:variant>
      <vt:variant>
        <vt:lpwstr>_Toc168982221</vt:lpwstr>
      </vt:variant>
      <vt:variant>
        <vt:i4>1572915</vt:i4>
      </vt:variant>
      <vt:variant>
        <vt:i4>32</vt:i4>
      </vt:variant>
      <vt:variant>
        <vt:i4>0</vt:i4>
      </vt:variant>
      <vt:variant>
        <vt:i4>5</vt:i4>
      </vt:variant>
      <vt:variant>
        <vt:lpwstr/>
      </vt:variant>
      <vt:variant>
        <vt:lpwstr>_Toc168982220</vt:lpwstr>
      </vt:variant>
      <vt:variant>
        <vt:i4>1769523</vt:i4>
      </vt:variant>
      <vt:variant>
        <vt:i4>26</vt:i4>
      </vt:variant>
      <vt:variant>
        <vt:i4>0</vt:i4>
      </vt:variant>
      <vt:variant>
        <vt:i4>5</vt:i4>
      </vt:variant>
      <vt:variant>
        <vt:lpwstr/>
      </vt:variant>
      <vt:variant>
        <vt:lpwstr>_Toc168982219</vt:lpwstr>
      </vt:variant>
      <vt:variant>
        <vt:i4>1769523</vt:i4>
      </vt:variant>
      <vt:variant>
        <vt:i4>20</vt:i4>
      </vt:variant>
      <vt:variant>
        <vt:i4>0</vt:i4>
      </vt:variant>
      <vt:variant>
        <vt:i4>5</vt:i4>
      </vt:variant>
      <vt:variant>
        <vt:lpwstr/>
      </vt:variant>
      <vt:variant>
        <vt:lpwstr>_Toc168982218</vt:lpwstr>
      </vt:variant>
      <vt:variant>
        <vt:i4>1769523</vt:i4>
      </vt:variant>
      <vt:variant>
        <vt:i4>14</vt:i4>
      </vt:variant>
      <vt:variant>
        <vt:i4>0</vt:i4>
      </vt:variant>
      <vt:variant>
        <vt:i4>5</vt:i4>
      </vt:variant>
      <vt:variant>
        <vt:lpwstr/>
      </vt:variant>
      <vt:variant>
        <vt:lpwstr>_Toc168982217</vt:lpwstr>
      </vt:variant>
      <vt:variant>
        <vt:i4>1769523</vt:i4>
      </vt:variant>
      <vt:variant>
        <vt:i4>8</vt:i4>
      </vt:variant>
      <vt:variant>
        <vt:i4>0</vt:i4>
      </vt:variant>
      <vt:variant>
        <vt:i4>5</vt:i4>
      </vt:variant>
      <vt:variant>
        <vt:lpwstr/>
      </vt:variant>
      <vt:variant>
        <vt:lpwstr>_Toc168982216</vt:lpwstr>
      </vt:variant>
      <vt:variant>
        <vt:i4>1769523</vt:i4>
      </vt:variant>
      <vt:variant>
        <vt:i4>2</vt:i4>
      </vt:variant>
      <vt:variant>
        <vt:i4>0</vt:i4>
      </vt:variant>
      <vt:variant>
        <vt:i4>5</vt:i4>
      </vt:variant>
      <vt:variant>
        <vt:lpwstr/>
      </vt:variant>
      <vt:variant>
        <vt:lpwstr>_Toc168982215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 - Digital Switchover Telecare Provision</dc:title>
  <dc:creator>Jamie Fraser</dc:creator>
  <cp:lastModifiedBy>Tim Mulrey</cp:lastModifiedBy>
  <cp:revision>2</cp:revision>
  <dcterms:created xsi:type="dcterms:W3CDTF">2024-06-20T08:46:00Z</dcterms:created>
  <dcterms:modified xsi:type="dcterms:W3CDTF">2024-06-20T08:46:00Z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2024-04-26T07:55:41Z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33bc7160-b35d-471c-ab87-1bc66a9870d1</vt:lpwstr>
  </property>
  <property fmtid="{D5CDD505-2E9C-101B-9397-08002B2CF9AE}" pid="8" name="MSIP_Label_55818d02-8d25-4bb9-b27c-e4db64670887_ContentBits">
    <vt:lpwstr>0</vt:lpwstr>
  </property>
  <property fmtid="{D5CDD505-2E9C-101B-9397-08002B2CF9AE}" pid="9" name="ContentTypeId">
    <vt:lpwstr>0x010100F38FF829FA844944BF88D5A27113FA6B</vt:lpwstr>
  </property>
  <property fmtid="{D5CDD505-2E9C-101B-9397-08002B2CF9AE}" pid="10" name="MediaServiceImageTags">
    <vt:lpwstr/>
  </property>
</Properties>
</file>